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1746" w:rsidRPr="00851746" w:rsidRDefault="00851746" w:rsidP="00851746">
      <w:pPr>
        <w:rPr>
          <w:rFonts w:ascii="Arial" w:hAnsi="Arial" w:cs="Arial"/>
          <w:sz w:val="28"/>
          <w:szCs w:val="28"/>
        </w:rPr>
      </w:pPr>
      <w:r w:rsidRPr="00851746">
        <w:rPr>
          <w:rFonts w:ascii="Arial" w:hAnsi="Arial" w:cs="Arial"/>
          <w:sz w:val="28"/>
          <w:szCs w:val="28"/>
        </w:rPr>
        <w:t>NOTA CONCEPTUAL</w:t>
      </w:r>
    </w:p>
    <w:p w:rsidR="00851746" w:rsidRPr="00851746" w:rsidRDefault="00851746" w:rsidP="00851746">
      <w:pPr>
        <w:rPr>
          <w:rFonts w:ascii="Arial" w:hAnsi="Arial" w:cs="Arial"/>
          <w:sz w:val="28"/>
          <w:szCs w:val="28"/>
        </w:rPr>
      </w:pPr>
      <w:r w:rsidRPr="00851746">
        <w:rPr>
          <w:rFonts w:ascii="Arial" w:hAnsi="Arial" w:cs="Arial"/>
          <w:sz w:val="28"/>
          <w:szCs w:val="28"/>
        </w:rPr>
        <w:t>VII Plataforma Regional para la Reducción del Riesgo de Desastres en Las Américas y el Caribe (PR21)</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1.</w:t>
      </w:r>
      <w:r w:rsidRPr="00851746">
        <w:rPr>
          <w:rFonts w:ascii="Arial" w:hAnsi="Arial" w:cs="Arial"/>
          <w:sz w:val="28"/>
          <w:szCs w:val="28"/>
        </w:rPr>
        <w:tab/>
        <w:t>INTRODUCCIÓN</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 xml:space="preserve">La pandemia de COVID-19 ha tenido un tremendo impacto en millones de personas, causando la pérdida de vidas y un impacto económico devastador. Aunque nadie se queda sin ser afectado, los más vulnerables son los que más sufren la pandemia. Las pérdidas derivadas de este desastre mundial tienen importantes repercusiones sociales que se manifiestan en diferentes dimensiones del desarrollo humano y la pobreza. Para finales de 2020, por ejemplo, COVID-19 llevó a 22 millones de latinoamericanos a la pobreza, aumentando los índices de pobreza en la región a 33,7% de la población total </w:t>
      </w:r>
      <w:r>
        <w:rPr>
          <w:rStyle w:val="Refdenotaalpie"/>
          <w:rFonts w:ascii="Arial" w:hAnsi="Arial" w:cs="Arial"/>
          <w:sz w:val="28"/>
          <w:szCs w:val="28"/>
        </w:rPr>
        <w:footnoteReference w:id="1"/>
      </w:r>
      <w:r w:rsidRPr="00851746">
        <w:rPr>
          <w:rFonts w:ascii="Arial" w:hAnsi="Arial" w:cs="Arial"/>
          <w:sz w:val="28"/>
          <w:szCs w:val="28"/>
        </w:rPr>
        <w:t xml:space="preserve">. El impacto de la pandemia en la educación, con cerca de 120 millones de niños en edad escolar de la región que han perdido o corren el riesgo de perder todo un año académico, ha provocado un empeoramiento de los índices de desigualdad en América Latina y el Caribe </w:t>
      </w:r>
      <w:r>
        <w:rPr>
          <w:rStyle w:val="Refdenotaalpie"/>
          <w:rFonts w:ascii="Arial" w:hAnsi="Arial" w:cs="Arial"/>
          <w:sz w:val="28"/>
          <w:szCs w:val="28"/>
        </w:rPr>
        <w:footnoteReference w:id="2"/>
      </w:r>
      <w:r w:rsidRPr="00851746">
        <w:rPr>
          <w:rFonts w:ascii="Arial" w:hAnsi="Arial" w:cs="Arial"/>
          <w:sz w:val="28"/>
          <w:szCs w:val="28"/>
        </w:rPr>
        <w:t>. La región tendrá que abordar la recuperación en un contexto de brechas estructurales muy profundas y con altos niveles de endeudamiento</w:t>
      </w:r>
      <w:r>
        <w:rPr>
          <w:rStyle w:val="Refdenotaalpie"/>
          <w:rFonts w:ascii="Arial" w:hAnsi="Arial" w:cs="Arial"/>
          <w:sz w:val="28"/>
          <w:szCs w:val="28"/>
        </w:rPr>
        <w:footnoteReference w:id="3"/>
      </w:r>
      <w:r w:rsidRPr="00851746">
        <w:rPr>
          <w:rFonts w:ascii="Arial" w:hAnsi="Arial" w:cs="Arial"/>
          <w:sz w:val="28"/>
          <w:szCs w:val="28"/>
        </w:rPr>
        <w:t>.</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 xml:space="preserve">La naturaleza del planeta globalmente interconectado significa que los impactos, las tensiones y las crisis repercuten en todo el mundo y se ven exacerbadas por la interacción entre el cambio climático, la fragilidad de los ecosistemas, la desigualdad preexistente y la inestabilidad política o financiera. La crisis sanitaria mundial ha afectado a sectores que son fundamentales para generar ingresos y </w:t>
      </w:r>
      <w:r w:rsidRPr="00851746">
        <w:rPr>
          <w:rFonts w:ascii="Arial" w:hAnsi="Arial" w:cs="Arial"/>
          <w:sz w:val="28"/>
          <w:szCs w:val="28"/>
        </w:rPr>
        <w:lastRenderedPageBreak/>
        <w:t>empleo, como el turismo, y ha revelado la precariedad de los sistemas de los que dependen el comercio, los alimentos, la energía, el transporte y las redes de seguridad social. Esto, a su vez, ha puesto en entredicho la capacidad de los países para garantizar la</w:t>
      </w:r>
    </w:p>
    <w:p w:rsidR="00851746" w:rsidRPr="00851746" w:rsidRDefault="00851746" w:rsidP="00851746">
      <w:pPr>
        <w:rPr>
          <w:rFonts w:ascii="Arial" w:hAnsi="Arial" w:cs="Arial"/>
          <w:sz w:val="28"/>
          <w:szCs w:val="28"/>
        </w:rPr>
      </w:pPr>
      <w:r w:rsidRPr="00851746">
        <w:rPr>
          <w:rFonts w:ascii="Arial" w:hAnsi="Arial" w:cs="Arial"/>
          <w:sz w:val="28"/>
          <w:szCs w:val="28"/>
        </w:rPr>
        <w:t>seguridad pública. La pandemia de COVID-19 ofrece un ejemplo claro de riesgo sistémico. Nos muestra que la propia naturaleza y escala del riesgo ha cambiado hasta tal punto que pueden sobrepasar los enfoques de gestión del riesgo establecidos y el alcance de las instituciones.</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Incluso antes de la pandemia de COVID-19, las Américas y el Caribe ya representaban el 53% de las pérdidas económicas mundiales registradas como consecuencia de los desastres relacionados con el clima</w:t>
      </w:r>
      <w:r>
        <w:rPr>
          <w:rStyle w:val="Refdenotaalpie"/>
          <w:rFonts w:ascii="Arial" w:hAnsi="Arial" w:cs="Arial"/>
          <w:sz w:val="28"/>
          <w:szCs w:val="28"/>
        </w:rPr>
        <w:footnoteReference w:id="4"/>
      </w:r>
      <w:r w:rsidRPr="00851746">
        <w:rPr>
          <w:rFonts w:ascii="Arial" w:hAnsi="Arial" w:cs="Arial"/>
          <w:sz w:val="28"/>
          <w:szCs w:val="28"/>
        </w:rPr>
        <w:t xml:space="preserve">. Las olas de calor son cada vez más fuertes, </w:t>
      </w:r>
      <w:proofErr w:type="gramStart"/>
      <w:r w:rsidRPr="00851746">
        <w:rPr>
          <w:rFonts w:ascii="Arial" w:hAnsi="Arial" w:cs="Arial"/>
          <w:sz w:val="28"/>
          <w:szCs w:val="28"/>
        </w:rPr>
        <w:t>más largas y más frecuentes</w:t>
      </w:r>
      <w:proofErr w:type="gramEnd"/>
      <w:r w:rsidRPr="00851746">
        <w:rPr>
          <w:rFonts w:ascii="Arial" w:hAnsi="Arial" w:cs="Arial"/>
          <w:sz w:val="28"/>
          <w:szCs w:val="28"/>
        </w:rPr>
        <w:t xml:space="preserve"> debido al cambio climático provocado por la humanidad. En junio de 2021, por ejemplo, una gran sequía cubría el 38.5% de Estados Unidos y Puerto Rico</w:t>
      </w:r>
      <w:r>
        <w:rPr>
          <w:rStyle w:val="Refdenotaalpie"/>
          <w:rFonts w:ascii="Arial" w:hAnsi="Arial" w:cs="Arial"/>
          <w:sz w:val="28"/>
          <w:szCs w:val="28"/>
        </w:rPr>
        <w:footnoteReference w:id="5"/>
      </w:r>
      <w:r w:rsidRPr="00851746">
        <w:rPr>
          <w:rFonts w:ascii="Arial" w:hAnsi="Arial" w:cs="Arial"/>
          <w:sz w:val="28"/>
          <w:szCs w:val="28"/>
        </w:rPr>
        <w:t>. Además, la temporada de huracanes del Atlántico de 2020 fue la más activa de la que se tiene registros. Las tormentas que azotaron la costa del Golfo, América Central y el Caribe ese año mostraron signos distintivos de que fueron exacerbadas por el cambio climático. El mayor costo de las tormentas, en relación con el tamaño de sus economías, recae en los pequeños estados insulares del Caribe. Este ciclo no es sostenible en términos sociales ni económicos, de ahí la importancia de reducir el riesgo de desastres como medio para lograr la resiliencia y el desarrollo sostenible.</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Es necesario un diálogo y una acción de múltiples partes interesadas para comprender y gestionar los riesgos sistémicos en la región. El progreso hacia un desarrollo sostenible informado por el riesgo sólo se dará si se incorporan enfoques basados en los sistemas en el diseño de políticas e inversiones en todos los sectores y regiones, y a todos los niveles.</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lastRenderedPageBreak/>
        <w:t>El hecho de que Jamaica acoja la VII Plataforma Regional para la Reducción del Riesgo de Desastres en las Américas y el Caribe bajo el lema "Construyendo economías resilientes en las Américas y el Caribe"</w:t>
      </w:r>
      <w:r>
        <w:rPr>
          <w:rStyle w:val="Refdenotaalpie"/>
          <w:rFonts w:ascii="Arial" w:hAnsi="Arial" w:cs="Arial"/>
          <w:sz w:val="28"/>
          <w:szCs w:val="28"/>
        </w:rPr>
        <w:footnoteReference w:id="6"/>
      </w:r>
      <w:r w:rsidRPr="00851746">
        <w:rPr>
          <w:rFonts w:ascii="Arial" w:hAnsi="Arial" w:cs="Arial"/>
          <w:sz w:val="28"/>
          <w:szCs w:val="28"/>
        </w:rPr>
        <w:t xml:space="preserve"> tiene como objetivo sensibilizar sobre los desafíos a los que se enfrentan los pequeños Estados insulares en desarrollo en la región del Caribe y las Américas. Esta será la primera vez que se celebre una plataforma regional en el Caribe, una de las regiones más vulnerables del mundo a los fenómenos meteorológicos extremos y a la actividad sísmica. Las Naciones Unidas incluyen a Jamaica entre los países más expuestos a amenazas naturales como terremotos, huracanes, deslaves e inundaciones. La experiencia de Jamaica y del resto del Caribe en materia de amenazas múltiples, la reducción del riesgo de desastres y la creación de resiliencia ofrecerá un gran entorno para la VII Plataforma para la Reducción del Riesgo de Desastres y proporcionará un excelente escenario para reflexionar sobre los avances y desafíos en la reducción del riesgo de desastres en las Américas y el Caribe.</w:t>
      </w:r>
    </w:p>
    <w:p w:rsid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Pr>
          <w:rFonts w:ascii="Arial" w:hAnsi="Arial" w:cs="Arial"/>
          <w:sz w:val="28"/>
          <w:szCs w:val="28"/>
        </w:rPr>
        <w:t>2. Antecedentes</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Pr>
          <w:rFonts w:ascii="Arial" w:hAnsi="Arial" w:cs="Arial"/>
          <w:sz w:val="28"/>
          <w:szCs w:val="28"/>
        </w:rPr>
        <w:t>D</w:t>
      </w:r>
      <w:r w:rsidRPr="00851746">
        <w:rPr>
          <w:rFonts w:ascii="Arial" w:hAnsi="Arial" w:cs="Arial"/>
          <w:sz w:val="28"/>
          <w:szCs w:val="28"/>
        </w:rPr>
        <w:t xml:space="preserve">urante la III Conferencia Mundial de las Naciones Unidas sobre la Reducción del Riesgo de Desastres, celebrada en marzo de 2015, se adoptó el Marco de Sendai para la Reducción del Riesgo de Desastres 2015-2030 (Marco de Sendai). Este marco global, junto con otros </w:t>
      </w:r>
      <w:r w:rsidRPr="00851746">
        <w:rPr>
          <w:rFonts w:ascii="Arial" w:hAnsi="Arial" w:cs="Arial"/>
          <w:sz w:val="28"/>
          <w:szCs w:val="28"/>
        </w:rPr>
        <w:lastRenderedPageBreak/>
        <w:t>acuerdos mundiales adoptados durante 2015</w:t>
      </w:r>
      <w:r w:rsidR="001C6DB8">
        <w:rPr>
          <w:rStyle w:val="Refdenotaalpie"/>
          <w:rFonts w:ascii="Arial" w:hAnsi="Arial" w:cs="Arial"/>
          <w:sz w:val="28"/>
          <w:szCs w:val="28"/>
        </w:rPr>
        <w:footnoteReference w:id="7"/>
      </w:r>
      <w:r w:rsidRPr="00851746">
        <w:rPr>
          <w:rFonts w:ascii="Arial" w:hAnsi="Arial" w:cs="Arial"/>
          <w:sz w:val="28"/>
          <w:szCs w:val="28"/>
        </w:rPr>
        <w:t>, constituyen la Agenda 2030, que declara la gestión integral del riesgo de desastres y su integración en el desarrollo, temas fundamentales para los Estados miembros. Los marcos globales no se pueden implementar con éxito por separado requieren coherencia tanto en la planificación como en la implementación. Como un marco práctico para reducir el riesgo de desastres, el Marco de Sendai es el tejido conectivo de los acuerdos internacionales posteriores a 2015. Los riesgos desconocidos, no abordados o desconocidos son el centro el corazón de la amenaza global para el desarrollo sostenible.</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El Marco de Sendai pretende lograr “la reducción sustancial del riesgo de desastres y de las pérdidas ocasionadas por los desastres, tanto en vidas, medios de subsistencia y salud como en bienes económicos, físicos, sociales, culturales y ambientales de las personas, las empresas, las comunidades y los países”. Lograr este resultado requiere no solo el compromiso de los líderes políticos en todos los niveles, sino también que todos los actores participen activamente en la implementación y el monitoreo del Marco de Sendai para la Reducción del Riesgo de Desastres 2015-</w:t>
      </w:r>
      <w:proofErr w:type="gramStart"/>
      <w:r w:rsidRPr="00851746">
        <w:rPr>
          <w:rFonts w:ascii="Arial" w:hAnsi="Arial" w:cs="Arial"/>
          <w:sz w:val="28"/>
          <w:szCs w:val="28"/>
        </w:rPr>
        <w:t>2030  y</w:t>
      </w:r>
      <w:proofErr w:type="gramEnd"/>
      <w:r w:rsidRPr="00851746">
        <w:rPr>
          <w:rFonts w:ascii="Arial" w:hAnsi="Arial" w:cs="Arial"/>
          <w:sz w:val="28"/>
          <w:szCs w:val="28"/>
        </w:rPr>
        <w:t xml:space="preserve"> acciones relacionadas.</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La Oficina de las Naciones Unidas para la Reducción del Riesgo de Desastres (UNDRR), que actúa como punto focal del sistema de las Naciones Unidas para la coordinación de la reducción de desastres, brinda apoyo a los procesos de implementación, seguimiento y monitoreo del Marco de Sendai. Una de sus actividades principales es la organización de las Plataformas Regionales y la Plataforma Global para la Reducción del Riesgo de Desastres (RRD).</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 xml:space="preserve">El Marco de Sendai para la Reducción del Riesgo de Desastres ratifica las Plataformas   Globales y Regionales para la Reducción del Riesgo de Desastres como un mecanismo de participación amplia y multisectorial en donde se discuten cada dos años los avances regionales en la implementación del Marco de Sendai. Las </w:t>
      </w:r>
      <w:r w:rsidRPr="00851746">
        <w:rPr>
          <w:rFonts w:ascii="Arial" w:hAnsi="Arial" w:cs="Arial"/>
          <w:sz w:val="28"/>
          <w:szCs w:val="28"/>
        </w:rPr>
        <w:lastRenderedPageBreak/>
        <w:t>Plataformas Globales y Regionales son espacios en donde múltiples socios claves tales como gobiernos (nacionales, subnacionales y locales), organizaciones intergubernamentales, organizaciones internacionales, organizaciones no gubernamentales, instituciones científicas y académicas, sector privado, donantes y los medios de comunicación se reúnen para compartir experiencias, intercambiar conocimiento y acordar sobre las principales prioridades regionales para la reducción del riesgo de desastres en la región de las Américas y el Caribe.</w:t>
      </w:r>
    </w:p>
    <w:p w:rsidR="00851746" w:rsidRPr="00851746" w:rsidRDefault="00851746" w:rsidP="001C6DB8">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 xml:space="preserve"> </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3.</w:t>
      </w:r>
      <w:r w:rsidRPr="00851746">
        <w:rPr>
          <w:rFonts w:ascii="Arial" w:hAnsi="Arial" w:cs="Arial"/>
          <w:sz w:val="28"/>
          <w:szCs w:val="28"/>
        </w:rPr>
        <w:tab/>
        <w:t>PLATAFORMAS REGIONALES EN LAS AMÉRICAS Y PLAN DE ACCIÓN REGIONAL</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n los últimos años, las sesiones de la Plataforma Regional fueron organizadas sucesivamente por Panamá (2009), México (2011), Chile (2012), Ecuador (2014), Canadá (2017) y Colombia (20-22 de junio de 2018). La Plataforma Regional suele durar tres días y, a modo de referencia, la última edición contó con la asistencia de 1,400 participantes. Se espera que la modalidad virtual de la VII Plataforma atraiga a un número mucho mayor de participantes. Las Plataformas Regionales suelen celebrarse cada dos años, alternando con las Plataformas Globales.</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Además, y como parte integral de la Plataforma Regional, se celebra una reunión ministerial y de autoridades de alto nivel cuyo objetivo es poner de manifiesto el compromiso político de los países con la RRD y los resultados de la Plataforma Regional. La primera reunión ministerial tuvo lugar en Paraguay en 2016 como un evento independiente que se integraría posteriormente en cada edición de la Plataforma Regional.</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 xml:space="preserve">Durante la V Plataforma Regional, celebrada en Canadá en 2017, se adoptó el Plan de Acción Regional para la implementación del Marco de Sendai para la Reducción del Riesgo de Desastres 2015–2030 en las Américas, o PAR </w:t>
      </w:r>
      <w:r w:rsidR="001C6DB8">
        <w:rPr>
          <w:rStyle w:val="Refdenotaalpie"/>
          <w:rFonts w:ascii="Arial" w:hAnsi="Arial" w:cs="Arial"/>
          <w:sz w:val="28"/>
          <w:szCs w:val="28"/>
        </w:rPr>
        <w:footnoteReference w:id="8"/>
      </w:r>
      <w:r w:rsidRPr="00851746">
        <w:rPr>
          <w:rFonts w:ascii="Arial" w:hAnsi="Arial" w:cs="Arial"/>
          <w:sz w:val="28"/>
          <w:szCs w:val="28"/>
        </w:rPr>
        <w:t xml:space="preserve"> . El PAR incorpora las prioridades de RRD de </w:t>
      </w:r>
      <w:r w:rsidRPr="00851746">
        <w:rPr>
          <w:rFonts w:ascii="Arial" w:hAnsi="Arial" w:cs="Arial"/>
          <w:sz w:val="28"/>
          <w:szCs w:val="28"/>
        </w:rPr>
        <w:lastRenderedPageBreak/>
        <w:t>las Américas y el Caribe como región y apoya a los países en sus esfuerzos por mejorar la resiliencia y reducir el riesgo de desastres y sus impactos.</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La reunión ministerial que se llevó a cabo en el marco de la VI Plataforma Regional en Colombia (junio de 2018) identificó avances y compromisos adicionales relativos al PAR. Además, la VI Plataforma Regional contó con una sesión especial dedicada al Caribe, con el fin de dar a conocer los desafíos y oportunidades específicos de esta subregión en el camino hacia un desarrollo sostenible que tenga en cuenta decisiones informadas por el riesgo. Como resultado de esta sesión, se definió un documento que articule las acciones clave requeridas para el Caribe en materia de recuperación, reducción del riesgo y resiliencia, el cual se presentó durante la Reunión del Consejo de Ministros de la Agencia de Manejo de Emergencias y Desastres del Caribe (CDEMA) realizada en junio de 2018, una vez finalizada la Plataforma Regional.</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Las Plataformas Regionales no deben verse como eventos aislados, sino como hitos en el proceso de implementación del Plan de Acción Regional y el Marco de Sendai en la región, y deben estar ligadas a otros eventos regionales importantes, como el Foro de los Países de América Latina y el Caribe sobre el Desarrollo Sostenible, la Conferencia del Caribe sobre Gestión Integral de Desastres, los foros subregionales “Entendiendo el Riesgo” (</w:t>
      </w:r>
      <w:proofErr w:type="spellStart"/>
      <w:r w:rsidRPr="00851746">
        <w:rPr>
          <w:rFonts w:ascii="Arial" w:hAnsi="Arial" w:cs="Arial"/>
          <w:sz w:val="28"/>
          <w:szCs w:val="28"/>
        </w:rPr>
        <w:t>Understanding</w:t>
      </w:r>
      <w:proofErr w:type="spellEnd"/>
      <w:r w:rsidRPr="00851746">
        <w:rPr>
          <w:rFonts w:ascii="Arial" w:hAnsi="Arial" w:cs="Arial"/>
          <w:sz w:val="28"/>
          <w:szCs w:val="28"/>
        </w:rPr>
        <w:t xml:space="preserve"> </w:t>
      </w:r>
      <w:proofErr w:type="spellStart"/>
      <w:r w:rsidRPr="00851746">
        <w:rPr>
          <w:rFonts w:ascii="Arial" w:hAnsi="Arial" w:cs="Arial"/>
          <w:sz w:val="28"/>
          <w:szCs w:val="28"/>
        </w:rPr>
        <w:t>Risk</w:t>
      </w:r>
      <w:proofErr w:type="spellEnd"/>
      <w:r w:rsidRPr="00851746">
        <w:rPr>
          <w:rFonts w:ascii="Arial" w:hAnsi="Arial" w:cs="Arial"/>
          <w:sz w:val="28"/>
          <w:szCs w:val="28"/>
        </w:rPr>
        <w:t>, en inglés), las reuniones internacionales y regionales del Mecanismo Internacional de Asistencia Humanitaria (MIAH), entre otras reuniones regionales importantes en las que se aborda el riesgo de desastres. Así mismo, las Plataformas Regionales y Globales están conectadas y se complementan para contribuir en los avances de los esfuerzos en la implementación del Marco de Sendai.</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VII Plataforma Regional para la Reducción del Riesgo de Desastres</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 xml:space="preserve">Es un momento muy pertinente para que el Caribe sea sede de una Plataforma Regional dada la importante contribución de sus organizaciones y marcos regionales, como CDEMA y la Estrategia Caribeña de Gestión Integral de Desastres (CDM), en la promoción de los compromisos del Marco de </w:t>
      </w:r>
      <w:proofErr w:type="spellStart"/>
      <w:r w:rsidRPr="00851746">
        <w:rPr>
          <w:rFonts w:ascii="Arial" w:hAnsi="Arial" w:cs="Arial"/>
          <w:sz w:val="28"/>
          <w:szCs w:val="28"/>
        </w:rPr>
        <w:t>Hyogo</w:t>
      </w:r>
      <w:proofErr w:type="spellEnd"/>
      <w:r w:rsidRPr="00851746">
        <w:rPr>
          <w:rFonts w:ascii="Arial" w:hAnsi="Arial" w:cs="Arial"/>
          <w:sz w:val="28"/>
          <w:szCs w:val="28"/>
        </w:rPr>
        <w:t xml:space="preserve"> y Marco de Sendai. En el </w:t>
      </w:r>
      <w:r w:rsidRPr="00851746">
        <w:rPr>
          <w:rFonts w:ascii="Arial" w:hAnsi="Arial" w:cs="Arial"/>
          <w:sz w:val="28"/>
          <w:szCs w:val="28"/>
        </w:rPr>
        <w:lastRenderedPageBreak/>
        <w:t>contexto del Caribe, Jamaica ha mostrado grandes avances en la reducción del riesgo de desastres y la construcción de resiliencia. Jamaica también ha desempeñado un rol importante en el avance de la RRD más allá de sus fronteras. Por ejemplo, Jamaica ha desempeñado un papel activo en la Plataforma Global y las Plataformas Regionales, ha presidido el Grupo de trabajo intergubernamental de composición abierta (OEIWG) sobre indicadores y terminología relacionados con la reducción del riesgo de desastres, ha organizado numerosos eventos regionales relacionados con la reducción del riesgo de desastres y está interesado en lograr mejoras en este ámbito en todos los niveles. Como anfitrión de la Plataforma Regional, Jamaica será el primer país del Caribe en asumir la organización de la Plataforma Regional en las Américas y el Caribe.</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 xml:space="preserve">La VII Plataforma Regional estaba originalmente programada para celebrarse en Montego Bay en junio de 2020, pero se reprogramó debido a las consideraciones de COVID-19 y ahora tendrá lugar de forma virtual, del 1 al 4 de noviembre de 2021. No obstante, el liderazgo de Jamaica y la experiencia de CDEMA contribuirán a situar a Jamaica y a la región del Caribe en el centro del debate y la definición de la agenda regional para avanzar en los esfuerzos para la reducción del riesgo de desastres para la resiliencia, la adaptación al cambio climático y el desarrollo sostenible, tal y como exigen los acuerdos internacionales. También será una oportunidad para revisar, </w:t>
      </w:r>
      <w:proofErr w:type="gramStart"/>
      <w:r w:rsidRPr="00851746">
        <w:rPr>
          <w:rFonts w:ascii="Arial" w:hAnsi="Arial" w:cs="Arial"/>
          <w:sz w:val="28"/>
          <w:szCs w:val="28"/>
        </w:rPr>
        <w:t>conjuntamente con</w:t>
      </w:r>
      <w:proofErr w:type="gramEnd"/>
      <w:r w:rsidRPr="00851746">
        <w:rPr>
          <w:rFonts w:ascii="Arial" w:hAnsi="Arial" w:cs="Arial"/>
          <w:sz w:val="28"/>
          <w:szCs w:val="28"/>
        </w:rPr>
        <w:t xml:space="preserve"> los países participantes de las Américas, las lecciones aprendidas de la pandemia de COVID-19, evaluar los avances para construir economías resilientes y promover nuevas acciones y compromisos hacia el fortalecimiento de la gobernanza del riesgo de desastres.</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 xml:space="preserve">En este sentido, Jamaica organizará antes de la Plataforma Regional una consulta regional sobre los avances hacia el Plan de Acción Regional (PAR) para la implementación del Marco de Sendai en las Américas y el Caribe, la cual servirá de insumo para las discusiones y deliberaciones de delegados en la Plataforma Regional. La VII Plataforma Regional para la Reducción del Riesgo de Desastres en las Américas y el Caribe representará un espacio privilegiado para resaltar la relevancia de la reducción del riesgo de desastres en el logro de la Agenda 2030 y la extrema importancia de un enfoque </w:t>
      </w:r>
      <w:proofErr w:type="spellStart"/>
      <w:r w:rsidRPr="00851746">
        <w:rPr>
          <w:rFonts w:ascii="Arial" w:hAnsi="Arial" w:cs="Arial"/>
          <w:sz w:val="28"/>
          <w:szCs w:val="28"/>
        </w:rPr>
        <w:t>multi-actor</w:t>
      </w:r>
      <w:proofErr w:type="spellEnd"/>
      <w:r w:rsidRPr="00851746">
        <w:rPr>
          <w:rFonts w:ascii="Arial" w:hAnsi="Arial" w:cs="Arial"/>
          <w:sz w:val="28"/>
          <w:szCs w:val="28"/>
        </w:rPr>
        <w:t xml:space="preserve"> y multisectorial en la construcción de resiliencia.</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Una de las conclusiones en las discusiones que se dieron durante la última Plataforma Global en mayo de 2019, fue que el “actual ritmo en la implementación del Marco de Sendai no es lo suficientemente rápido para alcanzar la Meta E en 2020 y esto puede retrasar el progreso de otras metas”. Al mismo tiempo, esto puede poner en peligro el logro de los Objetivos de Desarrollo Sostenible (ODS), un proceso balanceado alrededor de la implementación del PAR y la reflexión en torno a los retos y oportunidades presentadas en la región que hacen considerar con urgencia el tener una mayor ambición en lograr todas las metas del Marco de Sendai.</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4.</w:t>
      </w:r>
      <w:r w:rsidRPr="00851746">
        <w:rPr>
          <w:rFonts w:ascii="Arial" w:hAnsi="Arial" w:cs="Arial"/>
          <w:sz w:val="28"/>
          <w:szCs w:val="28"/>
        </w:rPr>
        <w:tab/>
        <w:t>OBJETIVOS Y RESULTADOS ESPERADOS</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Los tres objetivos generales de las Plataformas Regionales son los siguientes:</w:t>
      </w:r>
    </w:p>
    <w:p w:rsidR="00851746" w:rsidRPr="00851746" w:rsidRDefault="00851746" w:rsidP="00851746">
      <w:pPr>
        <w:rPr>
          <w:rFonts w:ascii="Arial" w:hAnsi="Arial" w:cs="Arial"/>
          <w:sz w:val="28"/>
          <w:szCs w:val="28"/>
        </w:rPr>
      </w:pPr>
      <w:r w:rsidRPr="00851746">
        <w:rPr>
          <w:rFonts w:ascii="Arial" w:hAnsi="Arial" w:cs="Arial"/>
          <w:sz w:val="28"/>
          <w:szCs w:val="28"/>
        </w:rPr>
        <w:t>1.</w:t>
      </w:r>
      <w:r w:rsidRPr="00851746">
        <w:rPr>
          <w:rFonts w:ascii="Arial" w:hAnsi="Arial" w:cs="Arial"/>
          <w:sz w:val="28"/>
          <w:szCs w:val="28"/>
        </w:rPr>
        <w:tab/>
        <w:t>Presentar y analizar los avances logrados a nivel regional en cuanto a la aplicación integral e inclusiva del Marco de Sendai y sus objetivos, identificando las áreas clave de éxito y las áreas en las que es necesario atención coordinada.</w:t>
      </w:r>
    </w:p>
    <w:p w:rsidR="00851746" w:rsidRPr="00851746" w:rsidRDefault="00851746" w:rsidP="00851746">
      <w:pPr>
        <w:rPr>
          <w:rFonts w:ascii="Arial" w:hAnsi="Arial" w:cs="Arial"/>
          <w:sz w:val="28"/>
          <w:szCs w:val="28"/>
        </w:rPr>
      </w:pPr>
      <w:r w:rsidRPr="00851746">
        <w:rPr>
          <w:rFonts w:ascii="Arial" w:hAnsi="Arial" w:cs="Arial"/>
          <w:sz w:val="28"/>
          <w:szCs w:val="28"/>
        </w:rPr>
        <w:t xml:space="preserve"> </w:t>
      </w:r>
    </w:p>
    <w:p w:rsidR="00851746" w:rsidRPr="00851746" w:rsidRDefault="00851746" w:rsidP="00851746">
      <w:pPr>
        <w:rPr>
          <w:rFonts w:ascii="Arial" w:hAnsi="Arial" w:cs="Arial"/>
          <w:sz w:val="28"/>
          <w:szCs w:val="28"/>
        </w:rPr>
      </w:pPr>
      <w:r w:rsidRPr="00851746">
        <w:rPr>
          <w:rFonts w:ascii="Arial" w:hAnsi="Arial" w:cs="Arial"/>
          <w:sz w:val="28"/>
          <w:szCs w:val="28"/>
        </w:rPr>
        <w:t>2.</w:t>
      </w:r>
      <w:r w:rsidRPr="00851746">
        <w:rPr>
          <w:rFonts w:ascii="Arial" w:hAnsi="Arial" w:cs="Arial"/>
          <w:sz w:val="28"/>
          <w:szCs w:val="28"/>
        </w:rPr>
        <w:tab/>
        <w:t>Teniendo en cuenta los riesgos e impactos del COVID-19 y otros desastres revisar el Plan de Acción Regional para evaluar los ajustes necesarios, definir las prioridades regionales para los dos años siguientes e identificar mecanismos para promover la integración de la gestión del riesgo de catástrofes dentro y entre sectores</w:t>
      </w:r>
      <w:r w:rsidR="00030A91">
        <w:rPr>
          <w:rStyle w:val="Refdenotaalpie"/>
          <w:rFonts w:ascii="Arial" w:hAnsi="Arial" w:cs="Arial"/>
          <w:sz w:val="28"/>
          <w:szCs w:val="28"/>
        </w:rPr>
        <w:footnoteReference w:id="9"/>
      </w:r>
      <w:r w:rsidRPr="00851746">
        <w:rPr>
          <w:rFonts w:ascii="Arial" w:hAnsi="Arial" w:cs="Arial"/>
          <w:sz w:val="28"/>
          <w:szCs w:val="28"/>
        </w:rPr>
        <w:t>.</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 xml:space="preserve"> </w:t>
      </w:r>
    </w:p>
    <w:p w:rsidR="00851746" w:rsidRPr="00851746" w:rsidRDefault="00851746" w:rsidP="00851746">
      <w:pPr>
        <w:rPr>
          <w:rFonts w:ascii="Arial" w:hAnsi="Arial" w:cs="Arial"/>
          <w:sz w:val="28"/>
          <w:szCs w:val="28"/>
        </w:rPr>
      </w:pPr>
      <w:r w:rsidRPr="00851746">
        <w:rPr>
          <w:rFonts w:ascii="Arial" w:hAnsi="Arial" w:cs="Arial"/>
          <w:sz w:val="28"/>
          <w:szCs w:val="28"/>
        </w:rPr>
        <w:t>3.</w:t>
      </w:r>
      <w:r w:rsidRPr="00851746">
        <w:rPr>
          <w:rFonts w:ascii="Arial" w:hAnsi="Arial" w:cs="Arial"/>
          <w:sz w:val="28"/>
          <w:szCs w:val="28"/>
        </w:rPr>
        <w:tab/>
        <w:t>Considerando la naturaleza sistémica del riesgo, así como los impactos socioeconómicos del COVID-19, el cambio climático y otros riesgos agravados en la de la región, hacer un balance de los esfuerzos de recuperación y recomendar estrategias para para lograr economías resilientes y construir un desarrollo sostenible e inclusivo basado en el riesgo.</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lastRenderedPageBreak/>
        <w:t>Como tal, debe reconocerse, destacarse e integrarse el papel y el liderazgo de numerosos actores, como las redes comunitarias, el sector privado, los bancos de desarrollo, las instituciones financieras y de planificación, la sociedad civil, la juventud, los grupos de voluntarios, las personas mayores, las mujeres, las personas con discapacidad, las poblaciones indígenas, los migrantes y los grupos que viven en condiciones de alta vulnerabilidad, como agentes de cambio en la reducción del riesgo de desastres y en el fortalecimiento de la resiliencia en las Américas y el Caribe.</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La VII Plataforma Regional representa una oportunidad inigualable para que los Estados miembros compartan experiencias, desarrollen sus capacidades, transfieran sus conocimientos y compartan sus éxitos en reducción del riesgo de desastres a nivel nacional y local. Del mismo modo, se espera que gracias a esta sesión aumente el grado de participación, el compromiso de los actores y partes interesadas en la implementación del Marco de Sendai, así como en la gestión integral del riesgo de desastres como componente clave para el desarrollo sostenible.</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La Plataforma Regional incluirá un segmento intergubernamental, sesiones técnicas, actividades paralelas y especiales en las que los participantes tendrán la oportunidad de interactuar y dialogar sobre la implementación y el monitoreo del Marco de Sendai, así como identificar las buenas prácticas y lecciones aprendidas en este ámbito. Uno de los aspectos más relevantes será el segmento de alto nivel, en el que las autoridades y ministros de alto nivel y de diferentes sectores (como educación, agricultura, finanzas, turismo, etc.) deliberarán sobre los avances regionales en la RRD y establecerán las prioridades regionales para los próximos dos años.</w:t>
      </w:r>
    </w:p>
    <w:p w:rsidR="00851746" w:rsidRPr="00851746" w:rsidRDefault="00851746" w:rsidP="00851746">
      <w:pPr>
        <w:rPr>
          <w:rFonts w:ascii="Arial" w:hAnsi="Arial" w:cs="Arial"/>
          <w:sz w:val="28"/>
          <w:szCs w:val="28"/>
        </w:rPr>
      </w:pPr>
      <w:r w:rsidRPr="00851746">
        <w:rPr>
          <w:rFonts w:ascii="Arial" w:hAnsi="Arial" w:cs="Arial"/>
          <w:sz w:val="28"/>
          <w:szCs w:val="28"/>
        </w:rPr>
        <w:t>6</w:t>
      </w:r>
    </w:p>
    <w:p w:rsidR="00851746" w:rsidRPr="00851746" w:rsidRDefault="00851746" w:rsidP="00851746">
      <w:pPr>
        <w:rPr>
          <w:rFonts w:ascii="Arial" w:hAnsi="Arial" w:cs="Arial"/>
          <w:sz w:val="28"/>
          <w:szCs w:val="28"/>
        </w:rPr>
      </w:pPr>
      <w:r w:rsidRPr="00851746">
        <w:rPr>
          <w:rFonts w:ascii="Arial" w:hAnsi="Arial" w:cs="Arial"/>
          <w:sz w:val="28"/>
          <w:szCs w:val="28"/>
        </w:rPr>
        <w:t xml:space="preserve"> </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 xml:space="preserve">Además, se ofrecerán laboratorios de aprendizaje, plataformas de innovación (Marketplace) y la Incubadora de Ideas, donde diversos profesionales y expertos en reducción del riesgo de desastres presentarán herramientas e iniciativas innovadoras en este ámbito. Supondrá también una excelente oportunidad para que grupos intergubernamentales regionales y subregionales puedan interactuar y fortalecer alianzas de trabajo, así como compartir experiencias con </w:t>
      </w:r>
      <w:r w:rsidRPr="00851746">
        <w:rPr>
          <w:rFonts w:ascii="Arial" w:hAnsi="Arial" w:cs="Arial"/>
          <w:sz w:val="28"/>
          <w:szCs w:val="28"/>
        </w:rPr>
        <w:lastRenderedPageBreak/>
        <w:t>miras a alcanzar las siete metas globales establecidas en el Marco de Sendai. El sector privado y las entidades financieras sectoriales desempeñarán un papel clave en el diálogo para construir economías resilientes. Finalmente, la Plataforma también se presenta como espacio para fortalecer los vínculos entre los organismos del sistema de las Naciones Unidas y otras organizaciones regionales a fin de garantizar la coherencia entre el Marco de Sendai y otros acuerdos globales pertinentes.</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Los principales resultados esperados de la VII Plataforma Regional son:</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w:t>
      </w:r>
      <w:r w:rsidRPr="00851746">
        <w:rPr>
          <w:rFonts w:ascii="Arial" w:hAnsi="Arial" w:cs="Arial"/>
          <w:sz w:val="28"/>
          <w:szCs w:val="28"/>
        </w:rPr>
        <w:tab/>
        <w:t xml:space="preserve">Resumen del </w:t>
      </w:r>
      <w:proofErr w:type="gramStart"/>
      <w:r w:rsidRPr="00851746">
        <w:rPr>
          <w:rFonts w:ascii="Arial" w:hAnsi="Arial" w:cs="Arial"/>
          <w:sz w:val="28"/>
          <w:szCs w:val="28"/>
        </w:rPr>
        <w:t>Presidente</w:t>
      </w:r>
      <w:proofErr w:type="gramEnd"/>
    </w:p>
    <w:p w:rsidR="00851746" w:rsidRPr="00851746" w:rsidRDefault="00851746" w:rsidP="00851746">
      <w:pPr>
        <w:rPr>
          <w:rFonts w:ascii="Arial" w:hAnsi="Arial" w:cs="Arial"/>
          <w:sz w:val="28"/>
          <w:szCs w:val="28"/>
        </w:rPr>
      </w:pPr>
      <w:r w:rsidRPr="00851746">
        <w:rPr>
          <w:rFonts w:ascii="Arial" w:hAnsi="Arial" w:cs="Arial"/>
          <w:sz w:val="28"/>
          <w:szCs w:val="28"/>
        </w:rPr>
        <w:t>•</w:t>
      </w:r>
      <w:r w:rsidRPr="00851746">
        <w:rPr>
          <w:rFonts w:ascii="Arial" w:hAnsi="Arial" w:cs="Arial"/>
          <w:sz w:val="28"/>
          <w:szCs w:val="28"/>
        </w:rPr>
        <w:tab/>
        <w:t>Declaración del segmento de Alto Nivel / Reunión Ministerial</w:t>
      </w:r>
    </w:p>
    <w:p w:rsidR="00851746" w:rsidRPr="00851746" w:rsidRDefault="00851746" w:rsidP="00851746">
      <w:pPr>
        <w:rPr>
          <w:rFonts w:ascii="Arial" w:hAnsi="Arial" w:cs="Arial"/>
          <w:sz w:val="28"/>
          <w:szCs w:val="28"/>
        </w:rPr>
      </w:pPr>
      <w:r w:rsidRPr="00851746">
        <w:rPr>
          <w:rFonts w:ascii="Arial" w:hAnsi="Arial" w:cs="Arial"/>
          <w:sz w:val="28"/>
          <w:szCs w:val="28"/>
        </w:rPr>
        <w:t>•</w:t>
      </w:r>
      <w:r w:rsidRPr="00851746">
        <w:rPr>
          <w:rFonts w:ascii="Arial" w:hAnsi="Arial" w:cs="Arial"/>
          <w:sz w:val="28"/>
          <w:szCs w:val="28"/>
        </w:rPr>
        <w:tab/>
        <w:t>Presentación de los avances realizados y recomendaciones para seguir avanzando en la implementación del Plan de Acción Regional para la implementación del Marco de Sendai en las Américas y el Caribe</w:t>
      </w:r>
    </w:p>
    <w:p w:rsidR="00851746" w:rsidRPr="00851746" w:rsidRDefault="00851746" w:rsidP="00851746">
      <w:pPr>
        <w:rPr>
          <w:rFonts w:ascii="Arial" w:hAnsi="Arial" w:cs="Arial"/>
          <w:sz w:val="28"/>
          <w:szCs w:val="28"/>
        </w:rPr>
      </w:pPr>
      <w:r w:rsidRPr="00851746">
        <w:rPr>
          <w:rFonts w:ascii="Arial" w:hAnsi="Arial" w:cs="Arial"/>
          <w:sz w:val="28"/>
          <w:szCs w:val="28"/>
        </w:rPr>
        <w:t>•</w:t>
      </w:r>
      <w:r w:rsidRPr="00851746">
        <w:rPr>
          <w:rFonts w:ascii="Arial" w:hAnsi="Arial" w:cs="Arial"/>
          <w:sz w:val="28"/>
          <w:szCs w:val="28"/>
        </w:rPr>
        <w:tab/>
        <w:t>Memorias de la VII Plataforma Regional para la Reducción del Riesgo de Desastres en las Américas y el Caribe</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Se espera que las deliberaciones y los documentos resultantes de la VII Plataforma Regional sirvan de insumo para que otros mecanismos regionales y globales puedan analizar los avances en el logro de la agenda 2030, en particular el Foro Político de Alto Nivel, el Foro de los Países de América Latina y el Caribe sobre Desarrollo Sostenible, y la siguiente Plataforma Global para la Reducción del Riesgo de Desastres (fecha por determinar), entre otros foros importantes.</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Además de dichos resultados, la Plataforma Regional proporcionará un espacio excepcional para que los participantes puedan:</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 Interactuar con los líderes dirigentes de la RRD de los sectores público y privado, incluidos los miembros de la comunidad científica y tecnológica, la comunidad empresarial, el sector académico, la sociedad civil, los líderes comunitarios y los representantes gubernamentales de toda la región.</w:t>
      </w:r>
    </w:p>
    <w:p w:rsidR="00851746" w:rsidRPr="00851746" w:rsidRDefault="00851746" w:rsidP="00851746">
      <w:pPr>
        <w:rPr>
          <w:rFonts w:ascii="Arial" w:hAnsi="Arial" w:cs="Arial"/>
          <w:sz w:val="28"/>
          <w:szCs w:val="28"/>
        </w:rPr>
      </w:pPr>
      <w:r w:rsidRPr="00851746">
        <w:rPr>
          <w:rFonts w:ascii="Arial" w:hAnsi="Arial" w:cs="Arial"/>
          <w:sz w:val="28"/>
          <w:szCs w:val="28"/>
        </w:rPr>
        <w:t>√ Conocer las últimas ideas sobre reducción del riesgo en desastres y experiencias de toda la región.</w:t>
      </w:r>
    </w:p>
    <w:p w:rsidR="00851746" w:rsidRPr="00851746" w:rsidRDefault="00851746" w:rsidP="00851746">
      <w:pPr>
        <w:rPr>
          <w:rFonts w:ascii="Arial" w:hAnsi="Arial" w:cs="Arial"/>
          <w:sz w:val="28"/>
          <w:szCs w:val="28"/>
        </w:rPr>
      </w:pPr>
      <w:r w:rsidRPr="00851746">
        <w:rPr>
          <w:rFonts w:ascii="Arial" w:hAnsi="Arial" w:cs="Arial"/>
          <w:sz w:val="28"/>
          <w:szCs w:val="28"/>
        </w:rPr>
        <w:lastRenderedPageBreak/>
        <w:t>√ Forjar nuevas alianzas y explorar nuevas oportunidades de asociación con los cientos de organizaciones y agencias presentes.</w:t>
      </w:r>
    </w:p>
    <w:p w:rsidR="00851746" w:rsidRPr="00851746" w:rsidRDefault="00851746" w:rsidP="00851746">
      <w:pPr>
        <w:rPr>
          <w:rFonts w:ascii="Arial" w:hAnsi="Arial" w:cs="Arial"/>
          <w:sz w:val="28"/>
          <w:szCs w:val="28"/>
        </w:rPr>
      </w:pPr>
      <w:r w:rsidRPr="00851746">
        <w:rPr>
          <w:rFonts w:ascii="Arial" w:hAnsi="Arial" w:cs="Arial"/>
          <w:sz w:val="28"/>
          <w:szCs w:val="28"/>
        </w:rPr>
        <w:t>√ Presentar sus propias experiencias y aprendizajes en la “Incubadora de ideas”.</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 xml:space="preserve"> </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5.</w:t>
      </w:r>
      <w:r w:rsidRPr="00851746">
        <w:rPr>
          <w:rFonts w:ascii="Arial" w:hAnsi="Arial" w:cs="Arial"/>
          <w:sz w:val="28"/>
          <w:szCs w:val="28"/>
        </w:rPr>
        <w:tab/>
        <w:t>MEDIOS DE COMUNICACIÓN</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La página web de la PR21 contiene información actualizada sobre el evento. Está disponible aquí: https://rp-americas.undrr.org/rp-americas-programme</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 xml:space="preserve">Las partes interesadas en América y el Caribe también pueden ser parte de esta conversación utilizando </w:t>
      </w:r>
      <w:proofErr w:type="gramStart"/>
      <w:r w:rsidRPr="00851746">
        <w:rPr>
          <w:rFonts w:ascii="Arial" w:hAnsi="Arial" w:cs="Arial"/>
          <w:sz w:val="28"/>
          <w:szCs w:val="28"/>
        </w:rPr>
        <w:t>el hashtag</w:t>
      </w:r>
      <w:proofErr w:type="gramEnd"/>
      <w:r w:rsidRPr="00851746">
        <w:rPr>
          <w:rFonts w:ascii="Arial" w:hAnsi="Arial" w:cs="Arial"/>
          <w:sz w:val="28"/>
          <w:szCs w:val="28"/>
        </w:rPr>
        <w:t xml:space="preserve"> #</w:t>
      </w:r>
      <w:proofErr w:type="spellStart"/>
      <w:r w:rsidRPr="00851746">
        <w:rPr>
          <w:rFonts w:ascii="Arial" w:hAnsi="Arial" w:cs="Arial"/>
          <w:sz w:val="28"/>
          <w:szCs w:val="28"/>
        </w:rPr>
        <w:t>SendaiAmericas</w:t>
      </w:r>
      <w:proofErr w:type="spellEnd"/>
      <w:r w:rsidRPr="00851746">
        <w:rPr>
          <w:rFonts w:ascii="Arial" w:hAnsi="Arial" w:cs="Arial"/>
          <w:sz w:val="28"/>
          <w:szCs w:val="28"/>
        </w:rPr>
        <w:t xml:space="preserve"> y #PR21 en línea.</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bookmarkStart w:id="0" w:name="_GoBack"/>
      <w:bookmarkEnd w:id="0"/>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CONTACTO:</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UNDRR:</w:t>
      </w:r>
    </w:p>
    <w:p w:rsidR="00851746" w:rsidRPr="00851746" w:rsidRDefault="00851746" w:rsidP="00851746">
      <w:pPr>
        <w:rPr>
          <w:rFonts w:ascii="Arial" w:hAnsi="Arial" w:cs="Arial"/>
          <w:sz w:val="28"/>
          <w:szCs w:val="28"/>
        </w:rPr>
      </w:pPr>
      <w:r w:rsidRPr="00851746">
        <w:rPr>
          <w:rFonts w:ascii="Arial" w:hAnsi="Arial" w:cs="Arial"/>
          <w:sz w:val="28"/>
          <w:szCs w:val="28"/>
        </w:rPr>
        <w:t>rpa@eird.org</w:t>
      </w:r>
    </w:p>
    <w:p w:rsidR="00851746" w:rsidRPr="00851746" w:rsidRDefault="00851746" w:rsidP="00851746">
      <w:pPr>
        <w:rPr>
          <w:rFonts w:ascii="Arial" w:hAnsi="Arial" w:cs="Arial"/>
          <w:sz w:val="28"/>
          <w:szCs w:val="28"/>
        </w:rPr>
      </w:pPr>
    </w:p>
    <w:p w:rsidR="00851746" w:rsidRPr="00851746" w:rsidRDefault="00851746" w:rsidP="00851746">
      <w:pPr>
        <w:rPr>
          <w:rFonts w:ascii="Arial" w:hAnsi="Arial" w:cs="Arial"/>
          <w:sz w:val="28"/>
          <w:szCs w:val="28"/>
        </w:rPr>
      </w:pPr>
      <w:r w:rsidRPr="00851746">
        <w:rPr>
          <w:rFonts w:ascii="Arial" w:hAnsi="Arial" w:cs="Arial"/>
          <w:sz w:val="28"/>
          <w:szCs w:val="28"/>
        </w:rPr>
        <w:t xml:space="preserve"> </w:t>
      </w:r>
    </w:p>
    <w:p w:rsidR="00851746" w:rsidRPr="00851746" w:rsidRDefault="00851746" w:rsidP="00851746">
      <w:pPr>
        <w:rPr>
          <w:rFonts w:ascii="Arial" w:hAnsi="Arial" w:cs="Arial"/>
          <w:sz w:val="28"/>
          <w:szCs w:val="28"/>
        </w:rPr>
      </w:pPr>
      <w:r w:rsidRPr="00851746">
        <w:rPr>
          <w:rFonts w:ascii="Arial" w:hAnsi="Arial" w:cs="Arial"/>
          <w:sz w:val="28"/>
          <w:szCs w:val="28"/>
        </w:rPr>
        <w:t>Jamaica: permanentsecretaryoffice@mlgcd.gov.jm tgraham@mlgcd.gov.jm rp2020jamaica@mlgcd.gov.jm</w:t>
      </w:r>
    </w:p>
    <w:p w:rsidR="005D6FD3" w:rsidRPr="00851746" w:rsidRDefault="00851746" w:rsidP="00851746">
      <w:pPr>
        <w:rPr>
          <w:rFonts w:ascii="Arial" w:hAnsi="Arial" w:cs="Arial"/>
          <w:sz w:val="28"/>
          <w:szCs w:val="28"/>
        </w:rPr>
      </w:pPr>
      <w:r w:rsidRPr="00851746">
        <w:rPr>
          <w:rFonts w:ascii="Arial" w:hAnsi="Arial" w:cs="Arial"/>
          <w:sz w:val="28"/>
          <w:szCs w:val="28"/>
        </w:rPr>
        <w:t>https://rp-americas.undrr.org/rp-americas-programme</w:t>
      </w:r>
      <w:r w:rsidRPr="00851746">
        <w:rPr>
          <w:rFonts w:ascii="Arial" w:hAnsi="Arial" w:cs="Arial"/>
          <w:sz w:val="28"/>
          <w:szCs w:val="28"/>
        </w:rPr>
        <w:tab/>
      </w:r>
    </w:p>
    <w:sectPr w:rsidR="005D6FD3" w:rsidRPr="00851746">
      <w:foot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381F" w:rsidRDefault="008B381F" w:rsidP="00851746">
      <w:r>
        <w:separator/>
      </w:r>
    </w:p>
  </w:endnote>
  <w:endnote w:type="continuationSeparator" w:id="0">
    <w:p w:rsidR="008B381F" w:rsidRDefault="008B381F" w:rsidP="00851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1746" w:rsidRDefault="008517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381F" w:rsidRDefault="008B381F" w:rsidP="00851746">
      <w:r>
        <w:separator/>
      </w:r>
    </w:p>
  </w:footnote>
  <w:footnote w:type="continuationSeparator" w:id="0">
    <w:p w:rsidR="008B381F" w:rsidRDefault="008B381F" w:rsidP="00851746">
      <w:r>
        <w:continuationSeparator/>
      </w:r>
    </w:p>
  </w:footnote>
  <w:footnote w:id="1">
    <w:p w:rsidR="00851746" w:rsidRPr="00851746" w:rsidRDefault="00851746">
      <w:pPr>
        <w:pStyle w:val="Textonotapie"/>
        <w:rPr>
          <w:lang w:val="es-MX"/>
        </w:rPr>
      </w:pPr>
      <w:r>
        <w:rPr>
          <w:rStyle w:val="Refdenotaalpie"/>
        </w:rPr>
        <w:footnoteRef/>
      </w:r>
      <w:r>
        <w:t xml:space="preserve"> </w:t>
      </w:r>
      <w:r w:rsidRPr="00851746">
        <w:rPr>
          <w:rFonts w:ascii="Arial" w:hAnsi="Arial" w:cs="Arial"/>
          <w:sz w:val="28"/>
          <w:szCs w:val="28"/>
        </w:rPr>
        <w:t>CEPAL (2021). Panorama Social de América Latina 2020. Marzo</w:t>
      </w:r>
      <w:r>
        <w:rPr>
          <w:rFonts w:ascii="Arial" w:hAnsi="Arial" w:cs="Arial"/>
          <w:sz w:val="28"/>
          <w:szCs w:val="28"/>
        </w:rPr>
        <w:t>.</w:t>
      </w:r>
    </w:p>
  </w:footnote>
  <w:footnote w:id="2">
    <w:p w:rsidR="00851746" w:rsidRPr="00851746" w:rsidRDefault="00851746" w:rsidP="00851746">
      <w:pPr>
        <w:rPr>
          <w:rFonts w:ascii="Arial" w:hAnsi="Arial" w:cs="Arial"/>
          <w:sz w:val="28"/>
          <w:szCs w:val="28"/>
        </w:rPr>
      </w:pPr>
      <w:r>
        <w:rPr>
          <w:rStyle w:val="Refdenotaalpie"/>
        </w:rPr>
        <w:footnoteRef/>
      </w:r>
      <w:r>
        <w:t xml:space="preserve"> </w:t>
      </w:r>
      <w:r w:rsidRPr="00851746">
        <w:rPr>
          <w:rFonts w:ascii="Arial" w:hAnsi="Arial" w:cs="Arial"/>
          <w:sz w:val="28"/>
          <w:szCs w:val="28"/>
        </w:rPr>
        <w:t>Banco Mundial (2021). Actuar ahora para proteger el capital humano de nuestros niños: Los costos y las respuestas al impacto de la pandemia COVID-19 en el sector educativo de América Latina y el Caribe.</w:t>
      </w:r>
    </w:p>
  </w:footnote>
  <w:footnote w:id="3">
    <w:p w:rsidR="00851746" w:rsidRPr="00851746" w:rsidRDefault="00851746" w:rsidP="00851746">
      <w:pPr>
        <w:rPr>
          <w:rFonts w:ascii="Arial" w:hAnsi="Arial" w:cs="Arial"/>
          <w:sz w:val="28"/>
          <w:szCs w:val="28"/>
        </w:rPr>
      </w:pPr>
      <w:r>
        <w:rPr>
          <w:rStyle w:val="Refdenotaalpie"/>
        </w:rPr>
        <w:footnoteRef/>
      </w:r>
      <w:r>
        <w:t xml:space="preserve"> </w:t>
      </w:r>
      <w:r w:rsidRPr="00851746">
        <w:rPr>
          <w:rFonts w:ascii="Arial" w:hAnsi="Arial" w:cs="Arial"/>
          <w:sz w:val="28"/>
          <w:szCs w:val="28"/>
        </w:rPr>
        <w:t xml:space="preserve">CEPAL (2021). Informe Especial COVID-19 </w:t>
      </w:r>
      <w:proofErr w:type="spellStart"/>
      <w:r w:rsidRPr="00851746">
        <w:rPr>
          <w:rFonts w:ascii="Arial" w:hAnsi="Arial" w:cs="Arial"/>
          <w:sz w:val="28"/>
          <w:szCs w:val="28"/>
        </w:rPr>
        <w:t>Nº</w:t>
      </w:r>
      <w:proofErr w:type="spellEnd"/>
      <w:r w:rsidRPr="00851746">
        <w:rPr>
          <w:rFonts w:ascii="Arial" w:hAnsi="Arial" w:cs="Arial"/>
          <w:sz w:val="28"/>
          <w:szCs w:val="28"/>
        </w:rPr>
        <w:t xml:space="preserve"> 10, titulado La financiación del desarrollo en la era de COVID-19 y más allá: Prioridades de América Latina y el Caribe en relación con la agenda política global de financiación para el desarrollo. Marzo.</w:t>
      </w:r>
    </w:p>
    <w:p w:rsidR="00851746" w:rsidRPr="00851746" w:rsidRDefault="00851746">
      <w:pPr>
        <w:pStyle w:val="Textonotapie"/>
        <w:rPr>
          <w:lang w:val="es-MX"/>
        </w:rPr>
      </w:pPr>
    </w:p>
  </w:footnote>
  <w:footnote w:id="4">
    <w:p w:rsidR="00851746" w:rsidRPr="00851746" w:rsidRDefault="00851746" w:rsidP="00851746">
      <w:pPr>
        <w:rPr>
          <w:rFonts w:ascii="Arial" w:hAnsi="Arial" w:cs="Arial"/>
          <w:sz w:val="28"/>
          <w:szCs w:val="28"/>
        </w:rPr>
      </w:pPr>
      <w:r>
        <w:rPr>
          <w:rStyle w:val="Refdenotaalpie"/>
        </w:rPr>
        <w:footnoteRef/>
      </w:r>
      <w:r>
        <w:t xml:space="preserve"> </w:t>
      </w:r>
      <w:r w:rsidRPr="00851746">
        <w:rPr>
          <w:rFonts w:ascii="Arial" w:hAnsi="Arial" w:cs="Arial"/>
          <w:sz w:val="28"/>
          <w:szCs w:val="28"/>
        </w:rPr>
        <w:t>UNDRR (2018). Pérdidas económicas, pobreza y desastres: 1998-2015.</w:t>
      </w:r>
    </w:p>
    <w:p w:rsidR="00851746" w:rsidRPr="00851746" w:rsidRDefault="00851746">
      <w:pPr>
        <w:pStyle w:val="Textonotapie"/>
      </w:pPr>
    </w:p>
  </w:footnote>
  <w:footnote w:id="5">
    <w:p w:rsidR="00851746" w:rsidRPr="00851746" w:rsidRDefault="00851746" w:rsidP="00851746">
      <w:pPr>
        <w:rPr>
          <w:rFonts w:ascii="Arial" w:hAnsi="Arial" w:cs="Arial"/>
          <w:sz w:val="28"/>
          <w:szCs w:val="28"/>
        </w:rPr>
      </w:pPr>
      <w:r>
        <w:rPr>
          <w:rStyle w:val="Refdenotaalpie"/>
        </w:rPr>
        <w:footnoteRef/>
      </w:r>
      <w:r>
        <w:t xml:space="preserve"> </w:t>
      </w:r>
      <w:r w:rsidRPr="00851746">
        <w:rPr>
          <w:rFonts w:ascii="Arial" w:hAnsi="Arial" w:cs="Arial"/>
          <w:sz w:val="28"/>
          <w:szCs w:val="28"/>
        </w:rPr>
        <w:t>Según el Centro Nacional de Mitigación de la Sequía de la Universidad de Nebraska-Lincoln.</w:t>
      </w:r>
    </w:p>
    <w:p w:rsidR="00851746" w:rsidRPr="00851746" w:rsidRDefault="00851746">
      <w:pPr>
        <w:pStyle w:val="Textonotapie"/>
      </w:pPr>
    </w:p>
  </w:footnote>
  <w:footnote w:id="6">
    <w:p w:rsidR="00851746" w:rsidRPr="00851746" w:rsidRDefault="00851746" w:rsidP="00851746">
      <w:pPr>
        <w:rPr>
          <w:rFonts w:ascii="Arial" w:hAnsi="Arial" w:cs="Arial"/>
          <w:sz w:val="28"/>
          <w:szCs w:val="28"/>
        </w:rPr>
      </w:pPr>
      <w:r>
        <w:rPr>
          <w:rStyle w:val="Refdenotaalpie"/>
        </w:rPr>
        <w:footnoteRef/>
      </w:r>
      <w:r>
        <w:t xml:space="preserve"> </w:t>
      </w:r>
      <w:r w:rsidRPr="00851746">
        <w:rPr>
          <w:rFonts w:ascii="Arial" w:hAnsi="Arial" w:cs="Arial"/>
          <w:sz w:val="28"/>
          <w:szCs w:val="28"/>
        </w:rPr>
        <w:t xml:space="preserve">En este contexto, se entiende por economía resiliente la capacidad de un sistema económico para recuperarse rápidamente de una perturbación. En el contexto del desarrollo sostenible, se refiere a la capacidad de recuperarse rápidamente de un impacto, a la capacidad de resistir un impacto y a la capacidad de evitarlo por completo. Establecer la resiliencia económica a nivel local, nacional o regional requiere la capacidad de anticipar el riesgo, evaluar cómo ese riesgo puede afectar a los activos económicos clave, integrar este conocimiento en los procesos de toma de decisiones informados por el riesgo para evitar la creación de nuevos riesgos, reducir el riesgo existente y fortalecer la resiliencia a través de incentivos e instrumentos sociales, económicos, culturales y políticos. </w:t>
      </w:r>
    </w:p>
    <w:p w:rsidR="00851746" w:rsidRPr="00851746" w:rsidRDefault="00851746">
      <w:pPr>
        <w:pStyle w:val="Textonotapie"/>
      </w:pPr>
    </w:p>
  </w:footnote>
  <w:footnote w:id="7">
    <w:p w:rsidR="001C6DB8" w:rsidRPr="00851746" w:rsidRDefault="001C6DB8" w:rsidP="001C6DB8">
      <w:pPr>
        <w:rPr>
          <w:rFonts w:ascii="Arial" w:hAnsi="Arial" w:cs="Arial"/>
          <w:sz w:val="28"/>
          <w:szCs w:val="28"/>
        </w:rPr>
      </w:pPr>
      <w:r>
        <w:rPr>
          <w:rStyle w:val="Refdenotaalpie"/>
        </w:rPr>
        <w:footnoteRef/>
      </w:r>
      <w:r>
        <w:t xml:space="preserve"> </w:t>
      </w:r>
      <w:r w:rsidRPr="00851746">
        <w:rPr>
          <w:rFonts w:ascii="Arial" w:hAnsi="Arial" w:cs="Arial"/>
          <w:sz w:val="28"/>
          <w:szCs w:val="28"/>
        </w:rPr>
        <w:t>Agenda de Acción de Addis Abeba sobre financiación para el desarrollo, Agenda 2030 para el Desarrollo Sostenible,</w:t>
      </w:r>
    </w:p>
    <w:p w:rsidR="001C6DB8" w:rsidRPr="00851746" w:rsidRDefault="001C6DB8" w:rsidP="001C6DB8">
      <w:pPr>
        <w:rPr>
          <w:rFonts w:ascii="Arial" w:hAnsi="Arial" w:cs="Arial"/>
          <w:sz w:val="28"/>
          <w:szCs w:val="28"/>
        </w:rPr>
      </w:pPr>
      <w:r w:rsidRPr="00851746">
        <w:rPr>
          <w:rFonts w:ascii="Arial" w:hAnsi="Arial" w:cs="Arial"/>
          <w:sz w:val="28"/>
          <w:szCs w:val="28"/>
        </w:rPr>
        <w:t>Acuerdo de París sobre cambio climático.</w:t>
      </w:r>
    </w:p>
    <w:p w:rsidR="001C6DB8" w:rsidRPr="001C6DB8" w:rsidRDefault="001C6DB8">
      <w:pPr>
        <w:pStyle w:val="Textonotapie"/>
      </w:pPr>
    </w:p>
  </w:footnote>
  <w:footnote w:id="8">
    <w:p w:rsidR="001C6DB8" w:rsidRPr="001C6DB8" w:rsidRDefault="001C6DB8">
      <w:pPr>
        <w:pStyle w:val="Textonotapie"/>
        <w:rPr>
          <w:lang w:val="es-MX"/>
        </w:rPr>
      </w:pPr>
      <w:r>
        <w:rPr>
          <w:rStyle w:val="Refdenotaalpie"/>
        </w:rPr>
        <w:footnoteRef/>
      </w:r>
      <w:r>
        <w:t xml:space="preserve"> </w:t>
      </w:r>
      <w:r w:rsidRPr="00851746">
        <w:rPr>
          <w:rFonts w:ascii="Arial" w:hAnsi="Arial" w:cs="Arial"/>
          <w:sz w:val="28"/>
          <w:szCs w:val="28"/>
        </w:rPr>
        <w:t>https://rp-americas.undrr.org/sites/default/files/inline-files/regional-action-plan-english-rp17.pdf</w:t>
      </w:r>
    </w:p>
  </w:footnote>
  <w:footnote w:id="9">
    <w:p w:rsidR="00030A91" w:rsidRPr="00030A91" w:rsidRDefault="00030A91">
      <w:pPr>
        <w:pStyle w:val="Textonotapie"/>
        <w:rPr>
          <w:lang w:val="es-MX"/>
        </w:rPr>
      </w:pPr>
      <w:r>
        <w:rPr>
          <w:rStyle w:val="Refdenotaalpie"/>
        </w:rPr>
        <w:footnoteRef/>
      </w:r>
      <w:r>
        <w:t xml:space="preserve"> </w:t>
      </w:r>
      <w:r w:rsidRPr="00851746">
        <w:rPr>
          <w:rFonts w:ascii="Arial" w:hAnsi="Arial" w:cs="Arial"/>
          <w:sz w:val="28"/>
          <w:szCs w:val="28"/>
        </w:rPr>
        <w:t>Incluyendo la salud, la educación, la seguridad, el medio ambiente, las infraestructuras y el sector financiero, entre otros.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746"/>
    <w:rsid w:val="00030A91"/>
    <w:rsid w:val="001C6DB8"/>
    <w:rsid w:val="005D6FD3"/>
    <w:rsid w:val="00851746"/>
    <w:rsid w:val="008B381F"/>
    <w:rsid w:val="00B417C3"/>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0A2A8"/>
  <w15:chartTrackingRefBased/>
  <w15:docId w15:val="{8D4A2450-269B-45BD-9C4C-B37ABF0CC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51746"/>
    <w:pPr>
      <w:tabs>
        <w:tab w:val="center" w:pos="4419"/>
        <w:tab w:val="right" w:pos="8838"/>
      </w:tabs>
    </w:pPr>
  </w:style>
  <w:style w:type="character" w:customStyle="1" w:styleId="EncabezadoCar">
    <w:name w:val="Encabezado Car"/>
    <w:basedOn w:val="Fuentedeprrafopredeter"/>
    <w:link w:val="Encabezado"/>
    <w:uiPriority w:val="99"/>
    <w:rsid w:val="00851746"/>
  </w:style>
  <w:style w:type="paragraph" w:styleId="Piedepgina">
    <w:name w:val="footer"/>
    <w:basedOn w:val="Normal"/>
    <w:link w:val="PiedepginaCar"/>
    <w:uiPriority w:val="99"/>
    <w:unhideWhenUsed/>
    <w:rsid w:val="00851746"/>
    <w:pPr>
      <w:tabs>
        <w:tab w:val="center" w:pos="4419"/>
        <w:tab w:val="right" w:pos="8838"/>
      </w:tabs>
    </w:pPr>
  </w:style>
  <w:style w:type="character" w:customStyle="1" w:styleId="PiedepginaCar">
    <w:name w:val="Pie de página Car"/>
    <w:basedOn w:val="Fuentedeprrafopredeter"/>
    <w:link w:val="Piedepgina"/>
    <w:uiPriority w:val="99"/>
    <w:rsid w:val="00851746"/>
  </w:style>
  <w:style w:type="character" w:styleId="Refdecomentario">
    <w:name w:val="annotation reference"/>
    <w:basedOn w:val="Fuentedeprrafopredeter"/>
    <w:uiPriority w:val="99"/>
    <w:semiHidden/>
    <w:unhideWhenUsed/>
    <w:rsid w:val="00851746"/>
    <w:rPr>
      <w:sz w:val="16"/>
      <w:szCs w:val="16"/>
    </w:rPr>
  </w:style>
  <w:style w:type="paragraph" w:styleId="Textocomentario">
    <w:name w:val="annotation text"/>
    <w:basedOn w:val="Normal"/>
    <w:link w:val="TextocomentarioCar"/>
    <w:uiPriority w:val="99"/>
    <w:semiHidden/>
    <w:unhideWhenUsed/>
    <w:rsid w:val="00851746"/>
    <w:rPr>
      <w:sz w:val="20"/>
      <w:szCs w:val="20"/>
    </w:rPr>
  </w:style>
  <w:style w:type="character" w:customStyle="1" w:styleId="TextocomentarioCar">
    <w:name w:val="Texto comentario Car"/>
    <w:basedOn w:val="Fuentedeprrafopredeter"/>
    <w:link w:val="Textocomentario"/>
    <w:uiPriority w:val="99"/>
    <w:semiHidden/>
    <w:rsid w:val="00851746"/>
    <w:rPr>
      <w:sz w:val="20"/>
      <w:szCs w:val="20"/>
    </w:rPr>
  </w:style>
  <w:style w:type="paragraph" w:styleId="Asuntodelcomentario">
    <w:name w:val="annotation subject"/>
    <w:basedOn w:val="Textocomentario"/>
    <w:next w:val="Textocomentario"/>
    <w:link w:val="AsuntodelcomentarioCar"/>
    <w:uiPriority w:val="99"/>
    <w:semiHidden/>
    <w:unhideWhenUsed/>
    <w:rsid w:val="00851746"/>
    <w:rPr>
      <w:b/>
      <w:bCs/>
    </w:rPr>
  </w:style>
  <w:style w:type="character" w:customStyle="1" w:styleId="AsuntodelcomentarioCar">
    <w:name w:val="Asunto del comentario Car"/>
    <w:basedOn w:val="TextocomentarioCar"/>
    <w:link w:val="Asuntodelcomentario"/>
    <w:uiPriority w:val="99"/>
    <w:semiHidden/>
    <w:rsid w:val="00851746"/>
    <w:rPr>
      <w:b/>
      <w:bCs/>
      <w:sz w:val="20"/>
      <w:szCs w:val="20"/>
    </w:rPr>
  </w:style>
  <w:style w:type="paragraph" w:styleId="Textodeglobo">
    <w:name w:val="Balloon Text"/>
    <w:basedOn w:val="Normal"/>
    <w:link w:val="TextodegloboCar"/>
    <w:uiPriority w:val="99"/>
    <w:semiHidden/>
    <w:unhideWhenUsed/>
    <w:rsid w:val="008517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1746"/>
    <w:rPr>
      <w:rFonts w:ascii="Segoe UI" w:hAnsi="Segoe UI" w:cs="Segoe UI"/>
      <w:sz w:val="18"/>
      <w:szCs w:val="18"/>
    </w:rPr>
  </w:style>
  <w:style w:type="paragraph" w:styleId="Textonotapie">
    <w:name w:val="footnote text"/>
    <w:basedOn w:val="Normal"/>
    <w:link w:val="TextonotapieCar"/>
    <w:uiPriority w:val="99"/>
    <w:semiHidden/>
    <w:unhideWhenUsed/>
    <w:rsid w:val="00851746"/>
    <w:rPr>
      <w:sz w:val="20"/>
      <w:szCs w:val="20"/>
    </w:rPr>
  </w:style>
  <w:style w:type="character" w:customStyle="1" w:styleId="TextonotapieCar">
    <w:name w:val="Texto nota pie Car"/>
    <w:basedOn w:val="Fuentedeprrafopredeter"/>
    <w:link w:val="Textonotapie"/>
    <w:uiPriority w:val="99"/>
    <w:semiHidden/>
    <w:rsid w:val="00851746"/>
    <w:rPr>
      <w:sz w:val="20"/>
      <w:szCs w:val="20"/>
    </w:rPr>
  </w:style>
  <w:style w:type="character" w:styleId="Refdenotaalpie">
    <w:name w:val="footnote reference"/>
    <w:basedOn w:val="Fuentedeprrafopredeter"/>
    <w:uiPriority w:val="99"/>
    <w:semiHidden/>
    <w:unhideWhenUsed/>
    <w:rsid w:val="008517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11</Pages>
  <Words>3073</Words>
  <Characters>16903</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Antonio Buron Barahona</dc:creator>
  <cp:keywords/>
  <dc:description/>
  <cp:lastModifiedBy>Luis Antonio Buron Barahona</cp:lastModifiedBy>
  <cp:revision>1</cp:revision>
  <dcterms:created xsi:type="dcterms:W3CDTF">2021-08-03T02:21:00Z</dcterms:created>
  <dcterms:modified xsi:type="dcterms:W3CDTF">2021-08-03T02:49:00Z</dcterms:modified>
</cp:coreProperties>
</file>