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CA349B" w:rsidRPr="00C74D13" w:rsidRDefault="00C74D13">
      <w:pPr>
        <w:jc w:val="center"/>
        <w:rPr>
          <w:lang w:val="en-US"/>
        </w:rPr>
      </w:pPr>
      <w:r w:rsidRPr="00C74D13">
        <w:rPr>
          <w:lang w:val="en-US"/>
        </w:rPr>
        <w:t>VII Regional Platform for Disaster Risk Reduction in the Americas and the Caribbean</w:t>
      </w:r>
    </w:p>
    <w:p w14:paraId="00000002" w14:textId="77777777" w:rsidR="00CA349B" w:rsidRPr="00C74D13" w:rsidRDefault="00C74D13">
      <w:pPr>
        <w:jc w:val="center"/>
        <w:rPr>
          <w:lang w:val="en-US"/>
        </w:rPr>
      </w:pPr>
      <w:r w:rsidRPr="00C74D13">
        <w:rPr>
          <w:lang w:val="en-US"/>
        </w:rPr>
        <w:t>Building resilient economies in the Americas and the Caribbean</w:t>
      </w:r>
    </w:p>
    <w:p w14:paraId="00000003" w14:textId="77777777" w:rsidR="00CA349B" w:rsidRPr="00C74D13" w:rsidRDefault="00C74D13">
      <w:pPr>
        <w:jc w:val="center"/>
        <w:rPr>
          <w:lang w:val="en-US"/>
        </w:rPr>
      </w:pPr>
      <w:r w:rsidRPr="00C74D13">
        <w:rPr>
          <w:lang w:val="en-US"/>
        </w:rPr>
        <w:t>1 to 4 of November</w:t>
      </w:r>
    </w:p>
    <w:p w14:paraId="00000004" w14:textId="77777777" w:rsidR="00CA349B" w:rsidRPr="00C74D13" w:rsidRDefault="00CA349B">
      <w:pPr>
        <w:rPr>
          <w:lang w:val="en-US"/>
        </w:rPr>
      </w:pPr>
    </w:p>
    <w:p w14:paraId="00000005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Agenda</w:t>
      </w:r>
    </w:p>
    <w:p w14:paraId="00000006" w14:textId="77777777" w:rsidR="00CA349B" w:rsidRPr="00C74D13" w:rsidRDefault="00CA349B">
      <w:pPr>
        <w:rPr>
          <w:lang w:val="en-US"/>
        </w:rPr>
      </w:pPr>
    </w:p>
    <w:p w14:paraId="00000007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*Jamaica time</w:t>
      </w:r>
    </w:p>
    <w:p w14:paraId="00000008" w14:textId="77777777" w:rsidR="00CA349B" w:rsidRDefault="00C74D13">
      <w:pPr>
        <w:rPr>
          <w:b/>
        </w:rPr>
      </w:pPr>
      <w:r>
        <w:rPr>
          <w:b/>
        </w:rPr>
        <w:t xml:space="preserve">Eastern Standard Time </w:t>
      </w:r>
      <w:proofErr w:type="spellStart"/>
      <w:r>
        <w:rPr>
          <w:b/>
        </w:rPr>
        <w:t>Zone</w:t>
      </w:r>
      <w:proofErr w:type="spellEnd"/>
      <w:r>
        <w:rPr>
          <w:b/>
        </w:rPr>
        <w:t xml:space="preserve"> (Jamaica, </w:t>
      </w:r>
      <w:proofErr w:type="spellStart"/>
      <w:r>
        <w:rPr>
          <w:b/>
        </w:rPr>
        <w:t>Panama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Mexico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Peru</w:t>
      </w:r>
      <w:proofErr w:type="spellEnd"/>
      <w:r>
        <w:rPr>
          <w:b/>
        </w:rPr>
        <w:t>)</w:t>
      </w:r>
    </w:p>
    <w:p w14:paraId="00000009" w14:textId="77777777" w:rsidR="00CA349B" w:rsidRDefault="00CA349B">
      <w:pPr>
        <w:rPr>
          <w:b/>
        </w:rPr>
      </w:pPr>
    </w:p>
    <w:p w14:paraId="0000000A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Day 1</w:t>
      </w:r>
    </w:p>
    <w:p w14:paraId="0000000B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9:00 AM a 10:00 AM - Official opening ceremony</w:t>
      </w:r>
    </w:p>
    <w:p w14:paraId="0000000C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11:00 AM - 12:30 PM - Plenary Session 1</w:t>
      </w:r>
    </w:p>
    <w:p w14:paraId="0000000D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14:00 PM - 15:00 PM - Parallel session 1, Parallel session 2</w:t>
      </w:r>
    </w:p>
    <w:p w14:paraId="0000000E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15:30 PM - 16:30 PM - Special session 1, L</w:t>
      </w:r>
      <w:r w:rsidRPr="00C74D13">
        <w:rPr>
          <w:lang w:val="en-US"/>
        </w:rPr>
        <w:t>earning labs 1</w:t>
      </w:r>
    </w:p>
    <w:p w14:paraId="0000000F" w14:textId="77777777" w:rsidR="00CA349B" w:rsidRPr="00C74D13" w:rsidRDefault="00CA349B">
      <w:pPr>
        <w:rPr>
          <w:lang w:val="en-US"/>
        </w:rPr>
      </w:pPr>
    </w:p>
    <w:p w14:paraId="00000010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Day 2</w:t>
      </w:r>
    </w:p>
    <w:p w14:paraId="00000011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9:00 AM - 10:30 AM - Plenary session 2</w:t>
      </w:r>
    </w:p>
    <w:p w14:paraId="00000012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11:00 AM - 12:00 PM - Parallel session 3, Parallel session 4, RAP technical session</w:t>
      </w:r>
    </w:p>
    <w:p w14:paraId="00000013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14:00 PM - 15:00 PM - Special session 2, Learning labs 2</w:t>
      </w:r>
    </w:p>
    <w:p w14:paraId="00000014" w14:textId="77777777" w:rsidR="00CA349B" w:rsidRPr="00C74D13" w:rsidRDefault="00CA349B">
      <w:pPr>
        <w:rPr>
          <w:lang w:val="en-US"/>
        </w:rPr>
      </w:pPr>
    </w:p>
    <w:p w14:paraId="00000015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Day 3</w:t>
      </w:r>
    </w:p>
    <w:p w14:paraId="00000016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 xml:space="preserve">9:00 AM - Parallel session 5, Parallel session </w:t>
      </w:r>
      <w:r w:rsidRPr="00C74D13">
        <w:rPr>
          <w:lang w:val="en-US"/>
        </w:rPr>
        <w:t>6</w:t>
      </w:r>
    </w:p>
    <w:p w14:paraId="00000017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11:00 AM - 12:00 PM - Parallel session 7, Learning labs 3</w:t>
      </w:r>
    </w:p>
    <w:p w14:paraId="00000018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9:00 AM - 12:00 PM - Ministerial meeting</w:t>
      </w:r>
    </w:p>
    <w:p w14:paraId="00000019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14:00 PM - 15:30 PM - Plenary session 3</w:t>
      </w:r>
    </w:p>
    <w:p w14:paraId="0000001A" w14:textId="77777777" w:rsidR="00CA349B" w:rsidRPr="00C74D13" w:rsidRDefault="00CA349B">
      <w:pPr>
        <w:rPr>
          <w:lang w:val="en-US"/>
        </w:rPr>
      </w:pPr>
    </w:p>
    <w:p w14:paraId="0000001B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Día 4</w:t>
      </w:r>
    </w:p>
    <w:p w14:paraId="0000001C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9:00 AM - 10:30 AM - Plenary session 4</w:t>
      </w:r>
    </w:p>
    <w:p w14:paraId="0000001D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11:00 AM - 12:00 PM - Parallel session 8, Learning labs 4, Learning sessions &amp; labs</w:t>
      </w:r>
    </w:p>
    <w:p w14:paraId="0000001E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14:00 PM - 15:00 PM - Official closing ceremony</w:t>
      </w:r>
    </w:p>
    <w:p w14:paraId="0000001F" w14:textId="77777777" w:rsidR="00CA349B" w:rsidRPr="00C74D13" w:rsidRDefault="00CA349B">
      <w:pPr>
        <w:rPr>
          <w:lang w:val="en-US"/>
        </w:rPr>
      </w:pPr>
    </w:p>
    <w:p w14:paraId="00000020" w14:textId="77777777" w:rsidR="00CA349B" w:rsidRPr="00C74D13" w:rsidRDefault="00CA349B">
      <w:pPr>
        <w:rPr>
          <w:lang w:val="en-US"/>
        </w:rPr>
      </w:pPr>
    </w:p>
    <w:p w14:paraId="00000021" w14:textId="77777777" w:rsidR="00CA349B" w:rsidRPr="00C74D13" w:rsidRDefault="00CA349B">
      <w:pPr>
        <w:rPr>
          <w:lang w:val="en-US"/>
        </w:rPr>
      </w:pPr>
    </w:p>
    <w:p w14:paraId="00000022" w14:textId="77777777" w:rsidR="00CA349B" w:rsidRPr="00C74D13" w:rsidRDefault="00C74D13">
      <w:pPr>
        <w:rPr>
          <w:b/>
          <w:lang w:val="en-US"/>
        </w:rPr>
      </w:pPr>
      <w:r w:rsidRPr="00C74D13">
        <w:rPr>
          <w:b/>
          <w:lang w:val="en-US"/>
        </w:rPr>
        <w:t>Content distribution</w:t>
      </w:r>
    </w:p>
    <w:p w14:paraId="00000023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1. Content will be distributed evenly across a 4-day agenda</w:t>
      </w:r>
    </w:p>
    <w:p w14:paraId="00000024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2. Plenary sessions will have 1h30 durat</w:t>
      </w:r>
      <w:r w:rsidRPr="00C74D13">
        <w:rPr>
          <w:lang w:val="en-US"/>
        </w:rPr>
        <w:t>ion, all other content sessions will</w:t>
      </w:r>
    </w:p>
    <w:p w14:paraId="00000025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have 1h duration to ensure maximum engagement.</w:t>
      </w:r>
    </w:p>
    <w:p w14:paraId="00000026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3. 30’ to 1h30 breaks for decompressing, coffee, lunch and networking.</w:t>
      </w:r>
    </w:p>
    <w:p w14:paraId="00000027" w14:textId="77777777" w:rsidR="00CA349B" w:rsidRPr="00C74D13" w:rsidRDefault="00C74D13">
      <w:pPr>
        <w:rPr>
          <w:lang w:val="en-US"/>
        </w:rPr>
      </w:pPr>
      <w:r w:rsidRPr="00C74D13">
        <w:rPr>
          <w:lang w:val="en-US"/>
        </w:rPr>
        <w:t>4. Additional content may be accessed as per participant’s interest (side</w:t>
      </w:r>
    </w:p>
    <w:p w14:paraId="00000028" w14:textId="77777777" w:rsidR="00CA349B" w:rsidRDefault="00C74D13">
      <w:proofErr w:type="spellStart"/>
      <w:r>
        <w:t>events</w:t>
      </w:r>
      <w:proofErr w:type="spellEnd"/>
      <w:r>
        <w:t xml:space="preserve"> and </w:t>
      </w:r>
      <w:proofErr w:type="spellStart"/>
      <w:r>
        <w:t>others</w:t>
      </w:r>
      <w:proofErr w:type="spellEnd"/>
      <w:r>
        <w:t>).</w:t>
      </w:r>
    </w:p>
    <w:p w14:paraId="00000029" w14:textId="77777777" w:rsidR="00CA349B" w:rsidRDefault="00CA349B">
      <w:pPr>
        <w:rPr>
          <w:b/>
        </w:rPr>
      </w:pPr>
    </w:p>
    <w:p w14:paraId="0000002A" w14:textId="4DC60E52" w:rsidR="00CA349B" w:rsidRDefault="00CA349B"/>
    <w:p w14:paraId="42203CDA" w14:textId="69CB4199" w:rsidR="00C74D13" w:rsidRDefault="00C74D13"/>
    <w:p w14:paraId="35A07295" w14:textId="67589C76" w:rsidR="00C74D13" w:rsidRDefault="00C74D13"/>
    <w:p w14:paraId="4D774F01" w14:textId="751EC808" w:rsidR="00C74D13" w:rsidRDefault="00C74D13"/>
    <w:p w14:paraId="38ECBF9C" w14:textId="6D7FA24E" w:rsidR="00C74D13" w:rsidRDefault="00C74D13"/>
    <w:p w14:paraId="548273FC" w14:textId="2BA868E2" w:rsidR="00C74D13" w:rsidRDefault="00C74D13"/>
    <w:p w14:paraId="666055C6" w14:textId="18C77289" w:rsidR="00C74D13" w:rsidRDefault="00C74D13"/>
    <w:p w14:paraId="3681B0EF" w14:textId="45E149E2" w:rsidR="00C74D13" w:rsidRDefault="00C74D13">
      <w:r>
        <w:lastRenderedPageBreak/>
        <w:t>Programme</w:t>
      </w:r>
    </w:p>
    <w:p w14:paraId="6EDC463B" w14:textId="137F2B30" w:rsidR="00C74D13" w:rsidRDefault="00C74D13"/>
    <w:p w14:paraId="2FB64D31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b/>
          <w:bCs/>
          <w:color w:val="000000" w:themeColor="text1"/>
          <w:lang w:val="en-US"/>
        </w:rPr>
      </w:pPr>
      <w:r w:rsidRPr="00C74D13">
        <w:rPr>
          <w:rFonts w:eastAsia="Times New Roman" w:cstheme="minorHAnsi"/>
          <w:b/>
          <w:bCs/>
          <w:color w:val="000000" w:themeColor="text1"/>
          <w:lang w:val="en-US"/>
        </w:rPr>
        <w:t>PLENARY SESSIONS</w:t>
      </w:r>
    </w:p>
    <w:p w14:paraId="7FBC2BFC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HL1 - </w:t>
      </w:r>
      <w:r w:rsidRPr="00C74D13">
        <w:rPr>
          <w:rFonts w:eastAsia="Times New Roman" w:cstheme="minorHAnsi"/>
          <w:lang w:val="en-US"/>
        </w:rPr>
        <w:t>Americas &amp; Caribbean: the resilience-building challenge for the next decades (UNDRR / CDEMA / ECLAC / PAHO/</w:t>
      </w:r>
    </w:p>
    <w:p w14:paraId="70F064EB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lang w:val="en-US"/>
        </w:rPr>
        <w:t>CEPREDENAC)</w:t>
      </w:r>
    </w:p>
    <w:p w14:paraId="515C8DAC" w14:textId="77777777" w:rsidR="00C74D13" w:rsidRPr="00C74D13" w:rsidRDefault="00C74D13" w:rsidP="00C74D13">
      <w:pPr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HL2 - </w:t>
      </w:r>
      <w:r w:rsidRPr="00C74D13">
        <w:rPr>
          <w:rFonts w:eastAsia="Times New Roman" w:cstheme="minorHAnsi"/>
          <w:lang w:val="en-US"/>
        </w:rPr>
        <w:t>Building resilient economies: building back, better and greener, leaving no one behind (ECLAC / UNDP)</w:t>
      </w:r>
    </w:p>
    <w:p w14:paraId="66B3D487" w14:textId="77777777" w:rsidR="00C74D13" w:rsidRPr="00C74D13" w:rsidRDefault="00C74D13" w:rsidP="00C74D13">
      <w:pPr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HL3 - </w:t>
      </w:r>
      <w:r w:rsidRPr="00C74D13">
        <w:rPr>
          <w:rFonts w:eastAsia="Times New Roman" w:cstheme="minorHAnsi"/>
          <w:lang w:val="en-US"/>
        </w:rPr>
        <w:t>Social protection and inclusion to strengthen community resilience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(</w:t>
      </w:r>
      <w:r w:rsidRPr="00C74D13">
        <w:rPr>
          <w:rFonts w:eastAsia="Times New Roman" w:cstheme="minorHAnsi"/>
          <w:lang w:val="en-US"/>
        </w:rPr>
        <w:t>IFRC / GNDR / PAHO / ECLAC)</w:t>
      </w:r>
    </w:p>
    <w:p w14:paraId="1BED1F1B" w14:textId="77777777" w:rsidR="00C74D13" w:rsidRPr="00C74D13" w:rsidRDefault="00C74D13" w:rsidP="00C74D13">
      <w:pPr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HL4 - </w:t>
      </w:r>
      <w:r w:rsidRPr="00C74D13">
        <w:rPr>
          <w:rFonts w:eastAsia="Times New Roman" w:cstheme="minorHAnsi"/>
          <w:lang w:val="en-US"/>
        </w:rPr>
        <w:t>Strengthening Disaster Risk Governance: Lessons from COVID-19 (PAHO / UNDRR / UNDP / GNDR / CEPREDENAC)</w:t>
      </w:r>
    </w:p>
    <w:p w14:paraId="72CEFD09" w14:textId="77777777" w:rsidR="00C74D13" w:rsidRPr="00C74D13" w:rsidRDefault="00C74D13" w:rsidP="00C74D13">
      <w:pPr>
        <w:rPr>
          <w:rFonts w:eastAsia="Times New Roman" w:cstheme="minorHAnsi"/>
          <w:color w:val="000000" w:themeColor="text1"/>
          <w:lang w:val="en-US"/>
        </w:rPr>
      </w:pPr>
    </w:p>
    <w:p w14:paraId="09CE453F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b/>
          <w:bCs/>
          <w:lang w:val="en-US"/>
        </w:rPr>
      </w:pPr>
      <w:r w:rsidRPr="00C74D13">
        <w:rPr>
          <w:rFonts w:eastAsia="Times New Roman" w:cstheme="minorHAnsi"/>
          <w:b/>
          <w:bCs/>
          <w:lang w:val="en-US"/>
        </w:rPr>
        <w:t>PARALLEL SESSIONS</w:t>
      </w:r>
    </w:p>
    <w:p w14:paraId="494348D8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P1 - </w:t>
      </w:r>
      <w:r w:rsidRPr="00C74D13">
        <w:rPr>
          <w:rFonts w:eastAsia="Times New Roman" w:cstheme="minorHAnsi"/>
          <w:lang w:val="en-US"/>
        </w:rPr>
        <w:t>Environmental protection and climate change adaptation to build local and national resilient economies: Dividends of Nature Based Solutions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(</w:t>
      </w:r>
      <w:r w:rsidRPr="00C74D13">
        <w:rPr>
          <w:rFonts w:eastAsia="Times New Roman" w:cstheme="minorHAnsi"/>
          <w:lang w:val="en-US"/>
        </w:rPr>
        <w:t>UNDP / IBC CC &amp; Resilience / IFRC)</w:t>
      </w:r>
    </w:p>
    <w:p w14:paraId="354E60D5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P2 - </w:t>
      </w:r>
      <w:r w:rsidRPr="00C74D13">
        <w:rPr>
          <w:rFonts w:eastAsia="Times New Roman" w:cstheme="minorHAnsi"/>
          <w:lang w:val="en-US"/>
        </w:rPr>
        <w:t>Enhancing resilient infrastructure (PAHO / UNOPS - WB / UNDRR)</w:t>
      </w:r>
    </w:p>
    <w:p w14:paraId="1AE5A778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P3 - </w:t>
      </w:r>
      <w:r w:rsidRPr="00C74D13">
        <w:rPr>
          <w:rFonts w:eastAsia="Times New Roman" w:cstheme="minorHAnsi"/>
          <w:lang w:val="en-US"/>
        </w:rPr>
        <w:t>Overcoming disaster economic losses: integrating risk and hazard information into public and private investments (CEPREDENAC /</w:t>
      </w:r>
      <w:bookmarkStart w:id="0" w:name="_GoBack"/>
      <w:bookmarkEnd w:id="0"/>
      <w:r w:rsidRPr="00C74D13">
        <w:rPr>
          <w:rFonts w:eastAsia="Times New Roman" w:cstheme="minorHAnsi"/>
          <w:lang w:val="en-US"/>
        </w:rPr>
        <w:t xml:space="preserve"> CDB)</w:t>
      </w:r>
    </w:p>
    <w:p w14:paraId="77566322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P4 - </w:t>
      </w:r>
      <w:r w:rsidRPr="00C74D13">
        <w:rPr>
          <w:rFonts w:eastAsia="Times New Roman" w:cstheme="minorHAnsi"/>
          <w:lang w:val="en-US"/>
        </w:rPr>
        <w:t>Integrating disaster displacement into DRR strategies, policies, plans and legal frameworks PDD / IOM / IFRC</w:t>
      </w:r>
    </w:p>
    <w:p w14:paraId="48260690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P5 - </w:t>
      </w:r>
      <w:r w:rsidRPr="00C74D13">
        <w:rPr>
          <w:rFonts w:eastAsia="Times New Roman" w:cstheme="minorHAnsi"/>
          <w:lang w:val="en-US"/>
        </w:rPr>
        <w:t>Using social protection mechanisms to address inequalities in preparedness, response and recovery (GNDR / CISS / SISCA)</w:t>
      </w:r>
    </w:p>
    <w:p w14:paraId="75D69BD9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P6 - </w:t>
      </w:r>
      <w:r w:rsidRPr="00C74D13">
        <w:rPr>
          <w:rFonts w:eastAsia="Times New Roman" w:cstheme="minorHAnsi"/>
          <w:lang w:val="en-US"/>
        </w:rPr>
        <w:t>Local governments, environmental management and disaster risk reduction: addressing multiple hazards and supporting the most at-risk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(</w:t>
      </w:r>
      <w:r w:rsidRPr="00C74D13">
        <w:rPr>
          <w:rFonts w:eastAsia="Times New Roman" w:cstheme="minorHAnsi"/>
          <w:lang w:val="en-US"/>
        </w:rPr>
        <w:t>GOVERNMENT OF JAMAICA / CDEMA/ COLOMBIA / PAHO / UN Environment)</w:t>
      </w:r>
    </w:p>
    <w:p w14:paraId="4525D65B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P7 - </w:t>
      </w:r>
      <w:r w:rsidRPr="00C74D13">
        <w:rPr>
          <w:rFonts w:eastAsia="Times New Roman" w:cstheme="minorHAnsi"/>
          <w:lang w:val="en-US"/>
        </w:rPr>
        <w:t>Anticipatory and forecast-based social protection systems (OCHA / IFRC)</w:t>
      </w:r>
    </w:p>
    <w:p w14:paraId="579D4B15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  <w:r w:rsidRPr="00C74D13">
        <w:rPr>
          <w:rFonts w:eastAsia="Times New Roman" w:cstheme="minorHAnsi"/>
          <w:color w:val="000000" w:themeColor="text1"/>
          <w:lang w:val="en-US"/>
        </w:rPr>
        <w:t xml:space="preserve">P8 - </w:t>
      </w:r>
      <w:r w:rsidRPr="00C74D13">
        <w:rPr>
          <w:rFonts w:eastAsia="Times New Roman" w:cstheme="minorHAnsi"/>
          <w:lang w:val="en-US"/>
        </w:rPr>
        <w:t>Understanding systemic risk and promoting a risk-informed people-centered sustainable development (UNDRR / UWI / UNICEF)</w:t>
      </w:r>
    </w:p>
    <w:p w14:paraId="48563F4B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n-US"/>
        </w:rPr>
      </w:pPr>
    </w:p>
    <w:p w14:paraId="2FC6F1D8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b/>
          <w:bCs/>
          <w:color w:val="FFFFFF"/>
          <w:lang w:val="en-US"/>
        </w:rPr>
      </w:pPr>
      <w:r w:rsidRPr="00C74D13">
        <w:rPr>
          <w:rFonts w:eastAsia="Times New Roman" w:cstheme="minorHAnsi"/>
          <w:b/>
          <w:bCs/>
          <w:color w:val="000000" w:themeColor="text1"/>
          <w:lang w:val="en-US"/>
        </w:rPr>
        <w:t>SPECIAL SESSIONS</w:t>
      </w:r>
    </w:p>
    <w:p w14:paraId="7E38BDE3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SP1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Special Session 1: Regional Risk Assessment Report 2021 (Regional Risk Landscape): towards an integrated,</w:t>
      </w:r>
    </w:p>
    <w:p w14:paraId="61D9A62C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proofErr w:type="spellStart"/>
      <w:r w:rsidRPr="00C74D13">
        <w:rPr>
          <w:rFonts w:eastAsia="Times New Roman" w:cstheme="minorHAnsi"/>
          <w:lang w:val="en-US"/>
        </w:rPr>
        <w:t>multistakeholder</w:t>
      </w:r>
      <w:proofErr w:type="spellEnd"/>
      <w:r w:rsidRPr="00C74D13">
        <w:rPr>
          <w:rFonts w:eastAsia="Times New Roman" w:cstheme="minorHAnsi"/>
          <w:lang w:val="en-US"/>
        </w:rPr>
        <w:t>, gender-responsive risk governance (UNDRR / ECLAC / GNDR)</w:t>
      </w:r>
    </w:p>
    <w:p w14:paraId="75C8D7CC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SP2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Special Session 2: A regional approach to coordination on multi-hazards: 2020 lessons from the Caribbean (CDEMA / UWI /GOVERNMENT OF JAMAICA / PAHO / UNDP / ECLAC)</w:t>
      </w:r>
    </w:p>
    <w:p w14:paraId="350BA9F1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</w:p>
    <w:p w14:paraId="1B834DB5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b/>
          <w:bCs/>
          <w:color w:val="000000" w:themeColor="text1"/>
          <w:lang w:val="en-US"/>
        </w:rPr>
      </w:pPr>
      <w:r w:rsidRPr="00C74D13">
        <w:rPr>
          <w:rFonts w:eastAsia="Times New Roman" w:cstheme="minorHAnsi"/>
          <w:b/>
          <w:bCs/>
          <w:color w:val="000000" w:themeColor="text1"/>
          <w:lang w:val="en-US"/>
        </w:rPr>
        <w:t>LEARNING LABS</w:t>
      </w:r>
    </w:p>
    <w:p w14:paraId="1748D35A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LL1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Disaster Impact Modelling (OCHA / CEPREDENAC SICA)</w:t>
      </w:r>
    </w:p>
    <w:p w14:paraId="5FE0D8D1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LL2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Science &amp; Technology for DRR: Post-disaster Forensic Investigation (FORIN) (LA RED / UNESCO / ECLAC)</w:t>
      </w:r>
    </w:p>
    <w:p w14:paraId="4FEAC1CF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LL3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From Early Warning Systems to Impact-based Forecasting: An approach to boost Multi-Hazard Early Warning Systems in the Caribbean region (CREWS / CDEMA / Cuba / WMO / PAHO / UNDP)</w:t>
      </w:r>
    </w:p>
    <w:p w14:paraId="7C1A1403" w14:textId="77777777" w:rsidR="00C74D13" w:rsidRPr="00C74D13" w:rsidRDefault="00C74D13" w:rsidP="00C74D13">
      <w:pPr>
        <w:autoSpaceDE w:val="0"/>
        <w:autoSpaceDN w:val="0"/>
        <w:adjustRightInd w:val="0"/>
        <w:rPr>
          <w:rFonts w:eastAsia="Times New Roman" w:cstheme="minorHAnsi"/>
          <w:lang w:val="en-US"/>
        </w:rPr>
      </w:pPr>
      <w:r w:rsidRPr="00C74D13">
        <w:rPr>
          <w:rFonts w:eastAsia="Times New Roman" w:cstheme="minorHAnsi"/>
          <w:lang w:val="en-US"/>
        </w:rPr>
        <w:t>LL4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eastAsia="Times New Roman" w:cstheme="minorHAnsi"/>
          <w:lang w:val="en-US"/>
        </w:rPr>
        <w:t>Heritage Management &amp; DRR (UNESCO / UNDRR)</w:t>
      </w:r>
    </w:p>
    <w:p w14:paraId="0000002B" w14:textId="103DB470" w:rsidR="00CA349B" w:rsidRPr="00C74D13" w:rsidRDefault="00C74D13" w:rsidP="00C74D13">
      <w:pPr>
        <w:autoSpaceDE w:val="0"/>
        <w:autoSpaceDN w:val="0"/>
        <w:adjustRightInd w:val="0"/>
        <w:rPr>
          <w:lang w:val="en-US"/>
        </w:rPr>
      </w:pPr>
      <w:r w:rsidRPr="00C74D13">
        <w:rPr>
          <w:rFonts w:eastAsia="Times New Roman" w:cstheme="minorHAnsi"/>
          <w:lang w:val="en-US"/>
        </w:rPr>
        <w:t>SL</w:t>
      </w:r>
      <w:r w:rsidRPr="00C74D13">
        <w:rPr>
          <w:rFonts w:eastAsia="Times New Roman" w:cstheme="minorHAnsi"/>
          <w:color w:val="000000" w:themeColor="text1"/>
          <w:lang w:val="en-US"/>
        </w:rPr>
        <w:t xml:space="preserve"> - </w:t>
      </w:r>
      <w:r w:rsidRPr="00C74D13">
        <w:rPr>
          <w:rFonts w:cstheme="minorHAnsi"/>
          <w:lang w:val="en-US"/>
        </w:rPr>
        <w:t>Lightning and wildfires (</w:t>
      </w:r>
      <w:r w:rsidRPr="00C74D13">
        <w:rPr>
          <w:rFonts w:eastAsia="Times New Roman" w:cstheme="minorHAnsi"/>
          <w:lang w:val="en-US"/>
        </w:rPr>
        <w:t>WMO / IBC / FAO / NOAA)</w:t>
      </w:r>
    </w:p>
    <w:sectPr w:rsidR="00CA349B" w:rsidRPr="00C74D1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49B"/>
    <w:rsid w:val="00C74D13"/>
    <w:rsid w:val="00CA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D49A3"/>
  <w15:docId w15:val="{0B101E79-072F-4BB5-875C-5CD36D51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P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579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Luis Antonio Buron Barahona</cp:lastModifiedBy>
  <cp:revision>2</cp:revision>
  <dcterms:created xsi:type="dcterms:W3CDTF">2021-09-20T16:15:00Z</dcterms:created>
  <dcterms:modified xsi:type="dcterms:W3CDTF">2021-09-20T17:29:00Z</dcterms:modified>
</cp:coreProperties>
</file>