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NOTA CONCEPTUAL</w:t>
      </w:r>
    </w:p>
    <w:p w:rsidR="00000000" w:rsidDel="00000000" w:rsidP="00000000" w:rsidRDefault="00000000" w:rsidRPr="00000000" w14:paraId="00000002">
      <w:pPr>
        <w:jc w:val="center"/>
        <w:rPr/>
      </w:pPr>
      <w:r w:rsidDel="00000000" w:rsidR="00000000" w:rsidRPr="00000000">
        <w:rPr/>
        <w:drawing>
          <wp:inline distB="0" distT="0" distL="0" distR="0">
            <wp:extent cx="5943600" cy="93980"/>
            <wp:effectExtent b="0" l="0" r="0" t="0"/>
            <wp:docPr id="65" name="image1.png"/>
            <a:graphic>
              <a:graphicData uri="http://schemas.openxmlformats.org/drawingml/2006/picture">
                <pic:pic>
                  <pic:nvPicPr>
                    <pic:cNvPr id="0" name="image1.png"/>
                    <pic:cNvPicPr preferRelativeResize="0"/>
                  </pic:nvPicPr>
                  <pic:blipFill>
                    <a:blip r:embed="rId7"/>
                    <a:srcRect b="82836" l="0" r="0" t="7048"/>
                    <a:stretch>
                      <a:fillRect/>
                    </a:stretch>
                  </pic:blipFill>
                  <pic:spPr>
                    <a:xfrm>
                      <a:off x="0" y="0"/>
                      <a:ext cx="5943600" cy="939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br w:type="textWrapping"/>
      </w:r>
      <w:r w:rsidDel="00000000" w:rsidR="00000000" w:rsidRPr="00000000">
        <w:rPr>
          <w:b w:val="1"/>
          <w:rtl w:val="0"/>
        </w:rPr>
        <w:t xml:space="preserve">Título</w:t>
      </w:r>
      <w:r w:rsidDel="00000000" w:rsidR="00000000" w:rsidRPr="00000000">
        <w:rPr>
          <w:rtl w:val="0"/>
        </w:rPr>
        <w:t xml:space="preserve">:  Sesión de alto nivel, Las Américas y el Caribe: el reto en la construcción de resiliencia para las próximas décadas</w:t>
      </w:r>
    </w:p>
    <w:p w:rsidR="00000000" w:rsidDel="00000000" w:rsidP="00000000" w:rsidRDefault="00000000" w:rsidRPr="00000000" w14:paraId="00000004">
      <w:pPr>
        <w:jc w:val="center"/>
        <w:rPr/>
      </w:pPr>
      <w:r w:rsidDel="00000000" w:rsidR="00000000" w:rsidRPr="00000000">
        <w:rPr>
          <w:b w:val="1"/>
          <w:rtl w:val="0"/>
        </w:rPr>
        <w:t xml:space="preserve">Fecha y hora</w:t>
      </w:r>
      <w:r w:rsidDel="00000000" w:rsidR="00000000" w:rsidRPr="00000000">
        <w:rPr>
          <w:rtl w:val="0"/>
        </w:rPr>
        <w:t xml:space="preserve">: Lunes, 1 de noviembre de 2021 (Día 1)</w:t>
      </w:r>
    </w:p>
    <w:p w:rsidR="00000000" w:rsidDel="00000000" w:rsidP="00000000" w:rsidRDefault="00000000" w:rsidRPr="00000000" w14:paraId="00000005">
      <w:pPr>
        <w:jc w:val="center"/>
        <w:rPr/>
      </w:pPr>
      <w:r w:rsidDel="00000000" w:rsidR="00000000" w:rsidRPr="00000000">
        <w:rPr>
          <w:rtl w:val="0"/>
        </w:rPr>
        <w:t xml:space="preserve">11:00 AM - 12:30 PM hora de Jamaica, Zona Horaria del Este (Jamaica, Panamá, México, Perú)</w:t>
      </w:r>
    </w:p>
    <w:p w:rsidR="00000000" w:rsidDel="00000000" w:rsidP="00000000" w:rsidRDefault="00000000" w:rsidRPr="00000000" w14:paraId="00000006">
      <w:pPr>
        <w:jc w:val="center"/>
        <w:rPr/>
      </w:pPr>
      <w:r w:rsidDel="00000000" w:rsidR="00000000" w:rsidRPr="00000000">
        <w:rPr>
          <w:b w:val="1"/>
          <w:rtl w:val="0"/>
        </w:rPr>
        <w:t xml:space="preserve">Sede:</w:t>
      </w:r>
      <w:r w:rsidDel="00000000" w:rsidR="00000000" w:rsidRPr="00000000">
        <w:rPr>
          <w:rtl w:val="0"/>
        </w:rPr>
        <w:t xml:space="preserve"> Virtual</w:t>
      </w:r>
    </w:p>
    <w:p w:rsidR="00000000" w:rsidDel="00000000" w:rsidP="00000000" w:rsidRDefault="00000000" w:rsidRPr="00000000" w14:paraId="00000007">
      <w:pPr>
        <w:jc w:val="center"/>
        <w:rPr/>
      </w:pPr>
      <w:r w:rsidDel="00000000" w:rsidR="00000000" w:rsidRPr="00000000">
        <w:rPr>
          <w:b w:val="1"/>
          <w:rtl w:val="0"/>
        </w:rPr>
        <w:t xml:space="preserve">Organización anfitriona:</w:t>
      </w:r>
      <w:r w:rsidDel="00000000" w:rsidR="00000000" w:rsidRPr="00000000">
        <w:rPr>
          <w:rtl w:val="0"/>
        </w:rPr>
        <w:t xml:space="preserve"> UNDRR</w:t>
      </w:r>
    </w:p>
    <w:p w:rsidR="00000000" w:rsidDel="00000000" w:rsidP="00000000" w:rsidRDefault="00000000" w:rsidRPr="00000000" w14:paraId="00000008">
      <w:pPr>
        <w:jc w:val="center"/>
        <w:rPr/>
      </w:pPr>
      <w:r w:rsidDel="00000000" w:rsidR="00000000" w:rsidRPr="00000000">
        <w:rPr>
          <w:b w:val="1"/>
          <w:color w:val="000000"/>
          <w:rtl w:val="0"/>
        </w:rPr>
        <w:t xml:space="preserve">Organización co</w:t>
      </w:r>
      <w:r w:rsidDel="00000000" w:rsidR="00000000" w:rsidRPr="00000000">
        <w:rPr>
          <w:b w:val="1"/>
          <w:rtl w:val="0"/>
        </w:rPr>
        <w:t xml:space="preserve">anfitriona</w:t>
      </w:r>
      <w:r w:rsidDel="00000000" w:rsidR="00000000" w:rsidRPr="00000000">
        <w:rPr>
          <w:b w:val="1"/>
          <w:color w:val="000000"/>
          <w:rtl w:val="0"/>
        </w:rPr>
        <w:t xml:space="preserve">:</w:t>
      </w:r>
      <w:r w:rsidDel="00000000" w:rsidR="00000000" w:rsidRPr="00000000">
        <w:rPr>
          <w:rtl w:val="0"/>
        </w:rPr>
        <w:t xml:space="preserve"> </w:t>
      </w:r>
      <w:r w:rsidDel="00000000" w:rsidR="00000000" w:rsidRPr="00000000">
        <w:rPr>
          <w:color w:val="000000"/>
          <w:rtl w:val="0"/>
        </w:rPr>
        <w:t xml:space="preserve">CDEMA</w:t>
      </w:r>
      <w:r w:rsidDel="00000000" w:rsidR="00000000" w:rsidRPr="00000000">
        <w:rPr>
          <w:rtl w:val="0"/>
        </w:rPr>
      </w:r>
    </w:p>
    <w:p w:rsidR="00000000" w:rsidDel="00000000" w:rsidP="00000000" w:rsidRDefault="00000000" w:rsidRPr="00000000" w14:paraId="00000009">
      <w:pPr>
        <w:jc w:val="center"/>
        <w:rPr>
          <w:color w:val="000000"/>
        </w:rPr>
      </w:pPr>
      <w:r w:rsidDel="00000000" w:rsidR="00000000" w:rsidRPr="00000000">
        <w:rPr>
          <w:b w:val="1"/>
          <w:color w:val="000000"/>
          <w:rtl w:val="0"/>
        </w:rPr>
        <w:t xml:space="preserve">Agencias contribuyentes:</w:t>
      </w:r>
      <w:r w:rsidDel="00000000" w:rsidR="00000000" w:rsidRPr="00000000">
        <w:rPr>
          <w:color w:val="000000"/>
          <w:rtl w:val="0"/>
        </w:rPr>
        <w:t xml:space="preserve"> </w:t>
      </w:r>
      <w:r w:rsidDel="00000000" w:rsidR="00000000" w:rsidRPr="00000000">
        <w:rPr>
          <w:rtl w:val="0"/>
        </w:rPr>
        <w:t xml:space="preserve"> CEPAL, </w:t>
      </w:r>
      <w:r w:rsidDel="00000000" w:rsidR="00000000" w:rsidRPr="00000000">
        <w:rPr>
          <w:color w:val="000000"/>
          <w:rtl w:val="0"/>
        </w:rPr>
        <w:t xml:space="preserve">OPS</w:t>
      </w:r>
      <w:r w:rsidDel="00000000" w:rsidR="00000000" w:rsidRPr="00000000">
        <w:rPr>
          <w:rtl w:val="0"/>
        </w:rPr>
        <w:t xml:space="preserve">, </w:t>
      </w:r>
      <w:r w:rsidDel="00000000" w:rsidR="00000000" w:rsidRPr="00000000">
        <w:rPr>
          <w:color w:val="000000"/>
          <w:rtl w:val="0"/>
        </w:rPr>
        <w:t xml:space="preserve">CEPREDENAC</w:t>
      </w:r>
    </w:p>
    <w:p w:rsidR="00000000" w:rsidDel="00000000" w:rsidP="00000000" w:rsidRDefault="00000000" w:rsidRPr="00000000" w14:paraId="0000000A">
      <w:pPr>
        <w:jc w:val="both"/>
        <w:rPr/>
      </w:pPr>
      <w:r w:rsidDel="00000000" w:rsidR="00000000" w:rsidRPr="00000000">
        <w:rPr/>
        <w:drawing>
          <wp:inline distB="0" distT="0" distL="0" distR="0">
            <wp:extent cx="5943600" cy="93980"/>
            <wp:effectExtent b="0" l="0" r="0" t="0"/>
            <wp:docPr id="67" name="image1.png"/>
            <a:graphic>
              <a:graphicData uri="http://schemas.openxmlformats.org/drawingml/2006/picture">
                <pic:pic>
                  <pic:nvPicPr>
                    <pic:cNvPr id="0" name="image1.png"/>
                    <pic:cNvPicPr preferRelativeResize="0"/>
                  </pic:nvPicPr>
                  <pic:blipFill>
                    <a:blip r:embed="rId7"/>
                    <a:srcRect b="82836" l="0" r="0" t="7048"/>
                    <a:stretch>
                      <a:fillRect/>
                    </a:stretch>
                  </pic:blipFill>
                  <pic:spPr>
                    <a:xfrm>
                      <a:off x="0" y="0"/>
                      <a:ext cx="5943600" cy="9398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Style w:val="Heading2"/>
        <w:jc w:val="both"/>
        <w:rPr/>
      </w:pPr>
      <w:r w:rsidDel="00000000" w:rsidR="00000000" w:rsidRPr="00000000">
        <w:rPr>
          <w:rtl w:val="0"/>
        </w:rPr>
        <w:t xml:space="preserve">OBJETIVOS</w:t>
      </w:r>
    </w:p>
    <w:p w:rsidR="00000000" w:rsidDel="00000000" w:rsidP="00000000" w:rsidRDefault="00000000" w:rsidRPr="00000000" w14:paraId="0000000C">
      <w:pPr>
        <w:jc w:val="both"/>
        <w:rPr>
          <w:color w:val="000000"/>
        </w:rPr>
      </w:pPr>
      <w:r w:rsidDel="00000000" w:rsidR="00000000" w:rsidRPr="00000000">
        <w:rPr>
          <w:rtl w:val="0"/>
        </w:rPr>
      </w:r>
    </w:p>
    <w:p w:rsidR="00000000" w:rsidDel="00000000" w:rsidP="00000000" w:rsidRDefault="00000000" w:rsidRPr="00000000" w14:paraId="0000000D">
      <w:pPr>
        <w:jc w:val="both"/>
        <w:rPr>
          <w:color w:val="000000"/>
        </w:rPr>
      </w:pPr>
      <w:r w:rsidDel="00000000" w:rsidR="00000000" w:rsidRPr="00000000">
        <w:rPr>
          <w:color w:val="000000"/>
          <w:rtl w:val="0"/>
        </w:rPr>
        <w:t xml:space="preserve">La pandemia de COVID-19, un desastre global de proporciones épicas, ha transformado nuestro mundo y ha afectado a millones de personas. Ha devastado los mercados económicos y financieros mundiales y ha arrojado a la pobreza a millones de personas. El impacto social también ha sido alto, especialmente para las mujeres, los niños, las niñas, las personas mayores y las personas con discapacidad. Nadie quedó sin afectar. Ha cambiado la forma en que vivimos, interactuamos, nos comportamos, trabajamos e incluso morimos. La COVID-19 ha expuesto nuestra vulnerabilidad e inequidades, y ha socavado el progreso hacia la Década de Acción para cumplir los Objetivos de Desarrollo Sostenible (ODS). Nos ha recordado que nadie está a salvo hasta que todos y todas estén a salvo. Ha demostrado cuán esenciales son la prevención y la reducción de riesgos para lograr un futuro sostenible para todos y todas.</w:t>
      </w:r>
    </w:p>
    <w:p w:rsidR="00000000" w:rsidDel="00000000" w:rsidP="00000000" w:rsidRDefault="00000000" w:rsidRPr="00000000" w14:paraId="0000000E">
      <w:pPr>
        <w:jc w:val="both"/>
        <w:rPr>
          <w:color w:val="000000"/>
        </w:rPr>
      </w:pPr>
      <w:r w:rsidDel="00000000" w:rsidR="00000000" w:rsidRPr="00000000">
        <w:rPr>
          <w:color w:val="000000"/>
          <w:rtl w:val="0"/>
        </w:rPr>
        <w:t xml:space="preserve">En este contexto, aprender de estas lecciones en materia de gestión de riesgos complejos e interconectados, como el cambio climático, las pandemias, la degradación de los ecosistemas, de la naturaleza y la pérdida de biodiversidad, representa uno de los desafíos regionales más urgentes para la región de las Américas y el Caribe en la actualidad.</w:t>
      </w:r>
    </w:p>
    <w:p w:rsidR="00000000" w:rsidDel="00000000" w:rsidP="00000000" w:rsidRDefault="00000000" w:rsidRPr="00000000" w14:paraId="0000000F">
      <w:pPr>
        <w:jc w:val="both"/>
        <w:rPr>
          <w:color w:val="000000"/>
        </w:rPr>
      </w:pPr>
      <w:r w:rsidDel="00000000" w:rsidR="00000000" w:rsidRPr="00000000">
        <w:rPr>
          <w:rtl w:val="0"/>
        </w:rPr>
      </w:r>
    </w:p>
    <w:p w:rsidR="00000000" w:rsidDel="00000000" w:rsidP="00000000" w:rsidRDefault="00000000" w:rsidRPr="00000000" w14:paraId="00000010">
      <w:pPr>
        <w:jc w:val="both"/>
        <w:rPr>
          <w:color w:val="000000"/>
        </w:rPr>
      </w:pPr>
      <w:r w:rsidDel="00000000" w:rsidR="00000000" w:rsidRPr="00000000">
        <w:rPr>
          <w:color w:val="000000"/>
          <w:rtl w:val="0"/>
        </w:rPr>
        <w:t xml:space="preserve">Esta sesión tiene lugar en un momento crítico: siete años desde la adopción del Marco de Sendai, poco más de dos años desde el comienzo de la pandemia de COVID-19 y un año antes del proceso intergubernamental de revisión de medio término del Marco de Sendai programada para 2023. La sesión tiene el objetivo y presenta la oportunidad única y oportuna de reflexionar y hacer un balance de los desafíos más destacados desde la perspectiva de los diferentes actores de la región para acelerar la implementación del Marco de Sendai para la construcción de resiliencia, incluso en contextos específicos de países.</w:t>
      </w:r>
    </w:p>
    <w:p w:rsidR="00000000" w:rsidDel="00000000" w:rsidP="00000000" w:rsidRDefault="00000000" w:rsidRPr="00000000" w14:paraId="00000011">
      <w:pPr>
        <w:jc w:val="both"/>
        <w:rPr>
          <w:color w:val="000000"/>
        </w:rPr>
      </w:pPr>
      <w:r w:rsidDel="00000000" w:rsidR="00000000" w:rsidRPr="00000000">
        <w:rPr>
          <w:color w:val="000000"/>
          <w:rtl w:val="0"/>
        </w:rPr>
        <w:t xml:space="preserve">Los objetivos finales de la sesión </w:t>
      </w:r>
      <w:r w:rsidDel="00000000" w:rsidR="00000000" w:rsidRPr="00000000">
        <w:rPr>
          <w:rtl w:val="0"/>
        </w:rPr>
        <w:t xml:space="preserve">son</w:t>
      </w:r>
      <w:r w:rsidDel="00000000" w:rsidR="00000000" w:rsidRPr="00000000">
        <w:rPr>
          <w:color w:val="000000"/>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 los problemas o limitaciones que enfrentan los diferentes países y partes interesadas con base en las lecciones que surgieron de la experiencia pasada para priorizar áreas de acción para mejorar la resiliencia.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elementos clave que sirvan para la reflexión sobre los elementos clave necesarios para fortalecer la gobernanza del riesgo de desastres y construir sistemas más sólidos para la gestión de todo tipo de riesgos.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Destacar cómo la solidaridad y la cooperación internacionales pueden contribuir a abordar estos desafíos y abordar elementos clave para enfrentar los factores subyacentes del riesgo, a nivel local y nacional, y volver a comprometerse, con urgencia, a acelerar el progreso hacia la reducción del riesgo de desastres y el logro de los ODS.</w:t>
      </w:r>
    </w:p>
    <w:p w:rsidR="00000000" w:rsidDel="00000000" w:rsidP="00000000" w:rsidRDefault="00000000" w:rsidRPr="00000000" w14:paraId="00000015">
      <w:pPr>
        <w:jc w:val="both"/>
        <w:rPr>
          <w:color w:val="000000"/>
        </w:rPr>
      </w:pPr>
      <w:r w:rsidDel="00000000" w:rsidR="00000000" w:rsidRPr="00000000">
        <w:rPr>
          <w:rtl w:val="0"/>
        </w:rPr>
      </w:r>
    </w:p>
    <w:p w:rsidR="00000000" w:rsidDel="00000000" w:rsidP="00000000" w:rsidRDefault="00000000" w:rsidRPr="00000000" w14:paraId="00000016">
      <w:pPr>
        <w:pStyle w:val="Heading2"/>
        <w:jc w:val="both"/>
        <w:rPr/>
      </w:pPr>
      <w:r w:rsidDel="00000000" w:rsidR="00000000" w:rsidRPr="00000000">
        <w:rPr>
          <w:rtl w:val="0"/>
        </w:rPr>
        <w:t xml:space="preserve">RESULTADOS MEDIBLES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color w:val="000000"/>
        </w:rPr>
      </w:pPr>
      <w:r w:rsidDel="00000000" w:rsidR="00000000" w:rsidRPr="00000000">
        <w:rPr>
          <w:color w:val="000000"/>
          <w:rtl w:val="0"/>
        </w:rPr>
        <w:t xml:space="preserve">Identificar experiencias y recomendaciones clave para la integración de la gestión del riesgo de desastres dentro y entre los sectores relevantes según sea necesario para abordar futuros escenarios complejos de riesgos sistémicos.</w:t>
      </w:r>
    </w:p>
    <w:p w:rsidR="00000000" w:rsidDel="00000000" w:rsidP="00000000" w:rsidRDefault="00000000" w:rsidRPr="00000000" w14:paraId="00000019">
      <w:pPr>
        <w:jc w:val="both"/>
        <w:rPr>
          <w:color w:val="000000"/>
        </w:rPr>
      </w:pPr>
      <w:r w:rsidDel="00000000" w:rsidR="00000000" w:rsidRPr="00000000">
        <w:rPr>
          <w:color w:val="000000"/>
          <w:rtl w:val="0"/>
        </w:rPr>
        <w:t xml:space="preserve">Recomendaciones de acciones para los formuladores de políticas en las áreas de desarrollo sostenible, planificación financiera y económica, reducción del riesgo de desastres y comercio internacional, acciones climáticas y de ecosistemas, cooperación internacional para la reducción del riesgo de desastres, incluida la integración de los brotes de enfermedades en la gestión del riesgo de desastres, incluidas acciones adaptadas a los pequeños Estados insulares en desarrollo (PEID), con especial atención a garantizar que nadie se quede atrás.</w:t>
      </w:r>
    </w:p>
    <w:p w:rsidR="00000000" w:rsidDel="00000000" w:rsidP="00000000" w:rsidRDefault="00000000" w:rsidRPr="00000000" w14:paraId="0000001A">
      <w:pPr>
        <w:jc w:val="both"/>
        <w:rPr>
          <w:color w:val="000000"/>
        </w:rPr>
      </w:pPr>
      <w:r w:rsidDel="00000000" w:rsidR="00000000" w:rsidRPr="00000000">
        <w:rPr>
          <w:color w:val="000000"/>
          <w:rtl w:val="0"/>
        </w:rPr>
        <w:t xml:space="preserve">Contribución de las Américas y el Caribe al proceso de consulta </w:t>
      </w:r>
      <w:r w:rsidDel="00000000" w:rsidR="00000000" w:rsidRPr="00000000">
        <w:rPr>
          <w:rtl w:val="0"/>
        </w:rPr>
        <w:t xml:space="preserve">para </w:t>
      </w:r>
      <w:r w:rsidDel="00000000" w:rsidR="00000000" w:rsidRPr="00000000">
        <w:rPr>
          <w:color w:val="000000"/>
          <w:rtl w:val="0"/>
        </w:rPr>
        <w:t xml:space="preserve">la revisión de medio término del Marco de Sendai a realizarse en 2023, así como el Foro Político de Alto Nivel sobre el desarrollo sostenible (HLPF) a realizarse en Nueva York en julio de 2022.</w:t>
      </w:r>
    </w:p>
    <w:p w:rsidR="00000000" w:rsidDel="00000000" w:rsidP="00000000" w:rsidRDefault="00000000" w:rsidRPr="00000000" w14:paraId="0000001B">
      <w:pPr>
        <w:jc w:val="both"/>
        <w:rPr>
          <w:color w:val="000000"/>
        </w:rPr>
      </w:pPr>
      <w:r w:rsidDel="00000000" w:rsidR="00000000" w:rsidRPr="00000000">
        <w:rPr>
          <w:color w:val="000000"/>
          <w:rtl w:val="0"/>
        </w:rPr>
        <w:t xml:space="preserve">Aportes al documento de resultados de la PR 2021 sobre áreas clave que se deben integrar para que el compromiso político impulse los esfuerzos para lograr el Marco de Sendai para la construcción de resiliencia.</w:t>
      </w:r>
    </w:p>
    <w:p w:rsidR="00000000" w:rsidDel="00000000" w:rsidP="00000000" w:rsidRDefault="00000000" w:rsidRPr="00000000" w14:paraId="0000001C">
      <w:pPr>
        <w:jc w:val="both"/>
        <w:rPr>
          <w:color w:val="000000"/>
        </w:rPr>
      </w:pPr>
      <w:r w:rsidDel="00000000" w:rsidR="00000000" w:rsidRPr="00000000">
        <w:rPr>
          <w:rtl w:val="0"/>
        </w:rPr>
      </w:r>
    </w:p>
    <w:p w:rsidR="00000000" w:rsidDel="00000000" w:rsidP="00000000" w:rsidRDefault="00000000" w:rsidRPr="00000000" w14:paraId="0000001D">
      <w:pPr>
        <w:pStyle w:val="Heading2"/>
        <w:jc w:val="both"/>
        <w:rPr/>
      </w:pPr>
      <w:r w:rsidDel="00000000" w:rsidR="00000000" w:rsidRPr="00000000">
        <w:rPr>
          <w:rtl w:val="0"/>
        </w:rPr>
        <w:t xml:space="preserve">DESCRIPCIÓN GENERAL</w:t>
      </w:r>
    </w:p>
    <w:p w:rsidR="00000000" w:rsidDel="00000000" w:rsidP="00000000" w:rsidRDefault="00000000" w:rsidRPr="00000000" w14:paraId="0000001E">
      <w:pPr>
        <w:jc w:val="both"/>
        <w:rPr>
          <w:color w:val="000000"/>
        </w:rPr>
      </w:pPr>
      <w:r w:rsidDel="00000000" w:rsidR="00000000" w:rsidRPr="00000000">
        <w:rPr>
          <w:rtl w:val="0"/>
        </w:rPr>
      </w:r>
    </w:p>
    <w:p w:rsidR="00000000" w:rsidDel="00000000" w:rsidP="00000000" w:rsidRDefault="00000000" w:rsidRPr="00000000" w14:paraId="0000001F">
      <w:pPr>
        <w:jc w:val="both"/>
        <w:rPr>
          <w:color w:val="000000"/>
        </w:rPr>
      </w:pPr>
      <w:r w:rsidDel="00000000" w:rsidR="00000000" w:rsidRPr="00000000">
        <w:rPr>
          <w:color w:val="000000"/>
          <w:rtl w:val="0"/>
        </w:rPr>
        <w:t xml:space="preserve">La PR21 tendrá lugar poco más de dos años después del inicio de la pandemia de COVID-19. La evolución futura de la pandemia sigue siendo incierta y la respuesta en curso se extenderá en el futuro previsible. El proceso de recuperación sanitaria, económica y social continuará durante muchos años en las Américas y el Caribe, que han sufrido y seguirán sufriendo dificultades económicas. La distribución desigual de las vacunas entre los países y el acceso a los servicios de salud exacerbarán aún más las desigualdades y frenarán los viajes internacionales, de los cuales muchos PEID dependen para el turismo. Si bien la pandemia ha presentado desafíos sin precedentes para los gobiernos y la comunidad internacional, también ha brindado una oportunidad y una obligación moral de repensar nuestros enfoques para gestionar el riesgo.</w:t>
      </w:r>
    </w:p>
    <w:p w:rsidR="00000000" w:rsidDel="00000000" w:rsidP="00000000" w:rsidRDefault="00000000" w:rsidRPr="00000000" w14:paraId="00000020">
      <w:pPr>
        <w:jc w:val="both"/>
        <w:rPr>
          <w:color w:val="000000"/>
        </w:rPr>
      </w:pPr>
      <w:r w:rsidDel="00000000" w:rsidR="00000000" w:rsidRPr="00000000">
        <w:rPr>
          <w:color w:val="000000"/>
          <w:rtl w:val="0"/>
        </w:rPr>
        <w:t xml:space="preserve">Los países de la región deben comprometerse a construir sistemas resilientes y transformar las acciones hacia un enfoque más proactivo, colaborativo, inclusivo y centrado en la prevención. Es necesario examinar por qué no se preparó adecuadamente, por qué ocurrió una falla del sistema, y por qué no se escucharon los mensajes provenientes de Sendai. La COVID-19 ha reforzado el llamado a enfoques multisectoriales, de amenazas múltiples, sensibles al género, inclusivos, accesibles, preventivos y anticipatorios que integren consistentemente la gestión de los riesgos de desastres, climáticos, ecosistémicos y de amenazas múltiples para fortalecer la resiliencia de las personas y las comunidades y garantizar el desarrollo sostenible y los medios de vida. También ha reforzado el llamamiento para mejorar la cooperación internacional y transfronteriza, y la consideración de las amenazas transfronterizas, incluida la posibilidad de efectos en cascada.</w:t>
      </w:r>
    </w:p>
    <w:p w:rsidR="00000000" w:rsidDel="00000000" w:rsidP="00000000" w:rsidRDefault="00000000" w:rsidRPr="00000000" w14:paraId="00000021">
      <w:pPr>
        <w:jc w:val="both"/>
        <w:rPr>
          <w:color w:val="000000"/>
        </w:rPr>
      </w:pPr>
      <w:r w:rsidDel="00000000" w:rsidR="00000000" w:rsidRPr="00000000">
        <w:rPr>
          <w:color w:val="000000"/>
          <w:rtl w:val="0"/>
        </w:rPr>
        <w:t xml:space="preserve">La sesión contribuirá así a reflejar y hacer un balance de cómo la situación actual ha desafiado la comprensión tradicional del riesgo y la gobernanza del riesgo de desastres. Explorará cómo la crisis puede convertirse en una oportunidad para la transformación radical necesaria para lograr el objetivo y las metas del Marco de Sendai, así como de la Agenda 2030. La resiliencia debe cubrir todos los elementos y niveles de la sociedad para garantizar que nadie se quede atrás en los esfuerzos por reducir el riesgo de desastres y garantizar una aceleración hacia el logro de los ODS.</w:t>
      </w:r>
    </w:p>
    <w:p w:rsidR="00000000" w:rsidDel="00000000" w:rsidP="00000000" w:rsidRDefault="00000000" w:rsidRPr="00000000" w14:paraId="00000022">
      <w:pPr>
        <w:jc w:val="both"/>
        <w:rPr>
          <w:color w:val="000000"/>
        </w:rPr>
      </w:pPr>
      <w:r w:rsidDel="00000000" w:rsidR="00000000" w:rsidRPr="00000000">
        <w:rPr>
          <w:rtl w:val="0"/>
        </w:rPr>
      </w:r>
    </w:p>
    <w:p w:rsidR="00000000" w:rsidDel="00000000" w:rsidP="00000000" w:rsidRDefault="00000000" w:rsidRPr="00000000" w14:paraId="00000023">
      <w:pPr>
        <w:jc w:val="both"/>
        <w:rPr>
          <w:color w:val="000000"/>
        </w:rPr>
      </w:pPr>
      <w:r w:rsidDel="00000000" w:rsidR="00000000" w:rsidRPr="00000000">
        <w:rPr>
          <w:rtl w:val="0"/>
        </w:rPr>
      </w:r>
    </w:p>
    <w:p w:rsidR="00000000" w:rsidDel="00000000" w:rsidP="00000000" w:rsidRDefault="00000000" w:rsidRPr="00000000" w14:paraId="00000024">
      <w:pPr>
        <w:pStyle w:val="Heading2"/>
        <w:jc w:val="both"/>
        <w:rPr/>
      </w:pPr>
      <w:r w:rsidDel="00000000" w:rsidR="00000000" w:rsidRPr="00000000">
        <w:rPr>
          <w:rtl w:val="0"/>
        </w:rPr>
        <w:t xml:space="preserve">PREGUNTAS QUE LA SESIÓN BUSCARÁ RESPONDER</w:t>
      </w:r>
    </w:p>
    <w:p w:rsidR="00000000" w:rsidDel="00000000" w:rsidP="00000000" w:rsidRDefault="00000000" w:rsidRPr="00000000" w14:paraId="00000025">
      <w:pPr>
        <w:jc w:val="both"/>
        <w:rPr>
          <w:color w:val="000000"/>
        </w:rPr>
      </w:pPr>
      <w:r w:rsidDel="00000000" w:rsidR="00000000" w:rsidRPr="00000000">
        <w:rPr>
          <w:rtl w:val="0"/>
        </w:rPr>
      </w:r>
    </w:p>
    <w:p w:rsidR="00000000" w:rsidDel="00000000" w:rsidP="00000000" w:rsidRDefault="00000000" w:rsidRPr="00000000" w14:paraId="00000026">
      <w:pPr>
        <w:jc w:val="both"/>
        <w:rPr>
          <w:color w:val="000000"/>
        </w:rPr>
      </w:pPr>
      <w:r w:rsidDel="00000000" w:rsidR="00000000" w:rsidRPr="00000000">
        <w:rPr>
          <w:color w:val="000000"/>
          <w:rtl w:val="0"/>
        </w:rPr>
        <w:t xml:space="preserve">En este contexto, las siguientes preguntas clave guiarán la sesión: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la experiencia de la pandemia de COVID-19 y sus efectos en diferentes grupos, y considerando los impactos continuos observados en las Américas y el Caribe debido a la crisis climática, ¿cómo pueden los gobiernos y las partes interesadas de la sociedad identificar y gestionar mejor los riesgos sistémicos actuales y emergentes?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se puede apoyar una mejor conciencia y comprensión del riesgo de desastres a través de nuevas tecnologías y por parte de varios actores, y cómo se puede mejorar la colaboración entre diferentes comunidades técnicas?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base en los niveles regional, nacional y comunitario, ¿qué acciones se necesitan para acelerar el progreso en la gestión del riesgo de desastres, especialmente en los países de mayor riesgo, incluidos los PEID? ¿Cómo pueden esas acciones ser inclusivas, accesibles, y garantizar que las personas más vulnerables y afectadas de manera desproporcionada por los desastres no se queden atrás?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acciones se requieren para abordar los desafíos identificados y acelerar el progreso en la gestión de las “nuevas” amenazas incluidas en el Marco de Sendai (biológicas, tecnológicas y ambientales) y reducir el riesgo y la exposición relacionados?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las áreas clave de enfoque identificadas por las partes interesadas clave en la región que permitirán un progreso acelerado en el logro del objetivo y las metas del Marco de Sendai?</w:t>
      </w:r>
    </w:p>
    <w:p w:rsidR="00000000" w:rsidDel="00000000" w:rsidP="00000000" w:rsidRDefault="00000000" w:rsidRPr="00000000" w14:paraId="0000002C">
      <w:pPr>
        <w:jc w:val="both"/>
        <w:rPr/>
      </w:pPr>
      <w:r w:rsidDel="00000000" w:rsidR="00000000" w:rsidRPr="00000000">
        <w:rPr>
          <w:rtl w:val="0"/>
        </w:rPr>
      </w:r>
    </w:p>
    <w:sectPr>
      <w:headerReference r:id="rId8" w:type="default"/>
      <w:pgSz w:h="15840" w:w="12240" w:orient="portrait"/>
      <w:pgMar w:bottom="629" w:top="811" w:left="1531" w:right="13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b w:val="1"/>
        <w:color w:val="000000"/>
      </w:rPr>
      <w:drawing>
        <wp:inline distB="0" distT="0" distL="0" distR="0">
          <wp:extent cx="5943600" cy="1634490"/>
          <wp:effectExtent b="0" l="0" r="0" t="0"/>
          <wp:docPr id="6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16344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unhideWhenUsed w:val="1"/>
    <w:qFormat w:val="1"/>
    <w:pPr>
      <w:keepNext w:val="1"/>
      <w:keepLines w:val="1"/>
      <w:spacing w:after="80" w:before="360"/>
      <w:outlineLvl w:val="1"/>
    </w:pPr>
    <w:rPr>
      <w:b w:val="1"/>
      <w:sz w:val="36"/>
      <w:szCs w:val="36"/>
    </w:rPr>
  </w:style>
  <w:style w:type="paragraph" w:styleId="Titolo3">
    <w:name w:val="heading 3"/>
    <w:basedOn w:val="Normale"/>
    <w:link w:val="Titolo3Carattere"/>
    <w:uiPriority w:val="9"/>
    <w:semiHidden w:val="1"/>
    <w:unhideWhenUsed w:val="1"/>
    <w:qFormat w:val="1"/>
    <w:rsid w:val="00541DA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aragrafoelenco">
    <w:name w:val="List Paragraph"/>
    <w:basedOn w:val="Normale"/>
    <w:uiPriority w:val="34"/>
    <w:qFormat w:val="1"/>
    <w:rsid w:val="00083241"/>
    <w:pPr>
      <w:ind w:left="720"/>
      <w:contextualSpacing w:val="1"/>
    </w:pPr>
  </w:style>
  <w:style w:type="table" w:styleId="Grigliatabella">
    <w:name w:val="Table Grid"/>
    <w:basedOn w:val="Tabellanormale"/>
    <w:uiPriority w:val="39"/>
    <w:rsid w:val="00AC23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commento">
    <w:name w:val="annotation reference"/>
    <w:basedOn w:val="Carpredefinitoparagrafo"/>
    <w:uiPriority w:val="99"/>
    <w:semiHidden w:val="1"/>
    <w:unhideWhenUsed w:val="1"/>
    <w:rsid w:val="00E413B2"/>
    <w:rPr>
      <w:sz w:val="16"/>
      <w:szCs w:val="16"/>
    </w:rPr>
  </w:style>
  <w:style w:type="paragraph" w:styleId="Testocommento">
    <w:name w:val="annotation text"/>
    <w:basedOn w:val="Normale"/>
    <w:link w:val="TestocommentoCarattere"/>
    <w:uiPriority w:val="99"/>
    <w:unhideWhenUsed w:val="1"/>
    <w:rsid w:val="00E413B2"/>
    <w:pPr>
      <w:spacing w:line="240" w:lineRule="auto"/>
    </w:pPr>
    <w:rPr>
      <w:sz w:val="20"/>
      <w:szCs w:val="20"/>
    </w:rPr>
  </w:style>
  <w:style w:type="character" w:styleId="TestocommentoCarattere" w:customStyle="1">
    <w:name w:val="Testo commento Carattere"/>
    <w:basedOn w:val="Carpredefinitoparagrafo"/>
    <w:link w:val="Testocommento"/>
    <w:uiPriority w:val="99"/>
    <w:rsid w:val="00E413B2"/>
    <w:rPr>
      <w:sz w:val="20"/>
      <w:szCs w:val="20"/>
    </w:rPr>
  </w:style>
  <w:style w:type="paragraph" w:styleId="Soggettocommento">
    <w:name w:val="annotation subject"/>
    <w:basedOn w:val="Testocommento"/>
    <w:next w:val="Testocommento"/>
    <w:link w:val="SoggettocommentoCarattere"/>
    <w:uiPriority w:val="99"/>
    <w:semiHidden w:val="1"/>
    <w:unhideWhenUsed w:val="1"/>
    <w:rsid w:val="00E413B2"/>
    <w:rPr>
      <w:b w:val="1"/>
      <w:bCs w:val="1"/>
    </w:rPr>
  </w:style>
  <w:style w:type="character" w:styleId="SoggettocommentoCarattere" w:customStyle="1">
    <w:name w:val="Soggetto commento Carattere"/>
    <w:basedOn w:val="TestocommentoCarattere"/>
    <w:link w:val="Soggettocommento"/>
    <w:uiPriority w:val="99"/>
    <w:semiHidden w:val="1"/>
    <w:rsid w:val="00E413B2"/>
    <w:rPr>
      <w:b w:val="1"/>
      <w:bCs w:val="1"/>
      <w:sz w:val="20"/>
      <w:szCs w:val="20"/>
    </w:rPr>
  </w:style>
  <w:style w:type="character" w:styleId="Collegamentoipertestuale">
    <w:name w:val="Hyperlink"/>
    <w:basedOn w:val="Carpredefinitoparagrafo"/>
    <w:uiPriority w:val="99"/>
    <w:unhideWhenUsed w:val="1"/>
    <w:rsid w:val="00035EFA"/>
    <w:rPr>
      <w:color w:val="0563c1" w:themeColor="hyperlink"/>
      <w:u w:val="single"/>
    </w:rPr>
  </w:style>
  <w:style w:type="character" w:styleId="Menzionenonrisolta">
    <w:name w:val="Unresolved Mention"/>
    <w:basedOn w:val="Carpredefinitoparagrafo"/>
    <w:uiPriority w:val="99"/>
    <w:semiHidden w:val="1"/>
    <w:unhideWhenUsed w:val="1"/>
    <w:rsid w:val="00035EFA"/>
    <w:rPr>
      <w:color w:val="605e5c"/>
      <w:shd w:color="auto" w:fill="e1dfdd" w:val="clear"/>
    </w:rPr>
  </w:style>
  <w:style w:type="character" w:styleId="Titolo3Carattere" w:customStyle="1">
    <w:name w:val="Titolo 3 Carattere"/>
    <w:basedOn w:val="Carpredefinitoparagrafo"/>
    <w:link w:val="Titolo3"/>
    <w:uiPriority w:val="9"/>
    <w:rsid w:val="00541DA4"/>
    <w:rPr>
      <w:rFonts w:ascii="Times New Roman" w:cs="Times New Roman" w:eastAsia="Times New Roman" w:hAnsi="Times New Roman"/>
      <w:b w:val="1"/>
      <w:bCs w:val="1"/>
      <w:sz w:val="27"/>
      <w:szCs w:val="27"/>
    </w:rPr>
  </w:style>
  <w:style w:type="paragraph" w:styleId="Testofumetto">
    <w:name w:val="Balloon Text"/>
    <w:basedOn w:val="Normale"/>
    <w:link w:val="TestofumettoCarattere"/>
    <w:uiPriority w:val="99"/>
    <w:semiHidden w:val="1"/>
    <w:unhideWhenUsed w:val="1"/>
    <w:rsid w:val="00EF2336"/>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EF2336"/>
    <w:rPr>
      <w:rFonts w:ascii="Segoe UI" w:cs="Segoe UI" w:hAnsi="Segoe UI"/>
      <w:sz w:val="18"/>
      <w:szCs w:val="18"/>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762EC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62EC1"/>
  </w:style>
  <w:style w:type="paragraph" w:styleId="Pidipagina">
    <w:name w:val="footer"/>
    <w:basedOn w:val="Normale"/>
    <w:link w:val="PidipaginaCarattere"/>
    <w:uiPriority w:val="99"/>
    <w:unhideWhenUsed w:val="1"/>
    <w:rsid w:val="00762EC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62EC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LCX3v3ZOoF8gS9H7KHhL4Akrw==">AMUW2mUR/fdlH9uqYPgBFrGwuKqNPw7q7bVroOm72fDx3IRn8XDGVCEwZGZ/EllcfsRhGJrUAhfy46KzRpdHZS663Jlg/ieezidbsrh+mu+VpV7CmoiKWyNt/jH/nDJaqY1F1N+LLzUF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2021-10-18T08:47:00Z</dcterms:created>
  <dc:creator>Raul Salazar Salazar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0x010100F6C5EB6EA470F14C806F58E4C5A20881</vt:lpwstr>
  </property>
</Properties>
</file>