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 </w:t>
        <w:tab/>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Heading1"/>
        <w:jc w:val="center"/>
        <w:rPr/>
      </w:pPr>
      <w:r w:rsidDel="00000000" w:rsidR="00000000" w:rsidRPr="00000000">
        <w:rPr>
          <w:rtl w:val="0"/>
        </w:rPr>
        <w:t xml:space="preserve">CONCEPT NOTE</w:t>
      </w:r>
    </w:p>
    <w:p w:rsidR="00000000" w:rsidDel="00000000" w:rsidP="00000000" w:rsidRDefault="00000000" w:rsidRPr="00000000" w14:paraId="00000006">
      <w:pPr>
        <w:rPr>
          <w:b w:val="1"/>
        </w:rPr>
      </w:pPr>
      <w:r w:rsidDel="00000000" w:rsidR="00000000" w:rsidRPr="00000000">
        <w:rPr/>
        <w:drawing>
          <wp:inline distB="0" distT="0" distL="0" distR="0">
            <wp:extent cx="6066515" cy="60970"/>
            <wp:effectExtent b="0" l="0" r="0" t="0"/>
            <wp:docPr id="309" name="image2.png"/>
            <a:graphic>
              <a:graphicData uri="http://schemas.openxmlformats.org/drawingml/2006/picture">
                <pic:pic>
                  <pic:nvPicPr>
                    <pic:cNvPr id="0" name="image2.png"/>
                    <pic:cNvPicPr preferRelativeResize="0"/>
                  </pic:nvPicPr>
                  <pic:blipFill>
                    <a:blip r:embed="rId7"/>
                    <a:srcRect b="82836" l="0" r="0" t="7048"/>
                    <a:stretch>
                      <a:fillRect/>
                    </a:stretch>
                  </pic:blipFill>
                  <pic:spPr>
                    <a:xfrm>
                      <a:off x="0" y="0"/>
                      <a:ext cx="6066515" cy="6097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spacing w:after="120" w:lineRule="auto"/>
        <w:ind w:hanging="1620"/>
        <w:jc w:val="center"/>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b w:val="1"/>
          <w:rtl w:val="0"/>
        </w:rPr>
        <w:t xml:space="preserve">Title:</w:t>
      </w:r>
      <w:r w:rsidDel="00000000" w:rsidR="00000000" w:rsidRPr="00000000">
        <w:rPr>
          <w:rtl w:val="0"/>
        </w:rPr>
        <w:t xml:space="preserve"> High level session, Strengthening Disaster Risk Governance: Lessons from COVID-19</w:t>
      </w:r>
    </w:p>
    <w:p w:rsidR="00000000" w:rsidDel="00000000" w:rsidP="00000000" w:rsidRDefault="00000000" w:rsidRPr="00000000" w14:paraId="00000009">
      <w:pPr>
        <w:jc w:val="center"/>
        <w:rPr/>
      </w:pPr>
      <w:r w:rsidDel="00000000" w:rsidR="00000000" w:rsidRPr="00000000">
        <w:rPr>
          <w:b w:val="1"/>
          <w:rtl w:val="0"/>
        </w:rPr>
        <w:t xml:space="preserve">Date and time: </w:t>
      </w:r>
      <w:r w:rsidDel="00000000" w:rsidR="00000000" w:rsidRPr="00000000">
        <w:rPr>
          <w:rtl w:val="0"/>
        </w:rPr>
        <w:t xml:space="preserve">Thursday, 4 November 2021 (Day 4)</w:t>
      </w:r>
    </w:p>
    <w:p w:rsidR="00000000" w:rsidDel="00000000" w:rsidP="00000000" w:rsidRDefault="00000000" w:rsidRPr="00000000" w14:paraId="0000000A">
      <w:pPr>
        <w:jc w:val="center"/>
        <w:rPr/>
      </w:pPr>
      <w:r w:rsidDel="00000000" w:rsidR="00000000" w:rsidRPr="00000000">
        <w:rPr>
          <w:rtl w:val="0"/>
        </w:rPr>
        <w:t xml:space="preserve">9:00 AM - 10:30 AM Jamaica time, Eastern Standard Time Zone (Jamaica, Panama, Mexico, Peru)</w:t>
      </w:r>
    </w:p>
    <w:p w:rsidR="00000000" w:rsidDel="00000000" w:rsidP="00000000" w:rsidRDefault="00000000" w:rsidRPr="00000000" w14:paraId="0000000B">
      <w:pPr>
        <w:jc w:val="center"/>
        <w:rPr/>
      </w:pPr>
      <w:r w:rsidDel="00000000" w:rsidR="00000000" w:rsidRPr="00000000">
        <w:rPr>
          <w:b w:val="1"/>
          <w:rtl w:val="0"/>
        </w:rPr>
        <w:t xml:space="preserve">Venue:</w:t>
      </w:r>
      <w:r w:rsidDel="00000000" w:rsidR="00000000" w:rsidRPr="00000000">
        <w:rPr>
          <w:rtl w:val="0"/>
        </w:rPr>
        <w:t xml:space="preserve"> Virtual</w:t>
      </w:r>
    </w:p>
    <w:p w:rsidR="00000000" w:rsidDel="00000000" w:rsidP="00000000" w:rsidRDefault="00000000" w:rsidRPr="00000000" w14:paraId="0000000C">
      <w:pPr>
        <w:jc w:val="center"/>
        <w:rPr/>
      </w:pPr>
      <w:r w:rsidDel="00000000" w:rsidR="00000000" w:rsidRPr="00000000">
        <w:rPr>
          <w:b w:val="1"/>
          <w:rtl w:val="0"/>
        </w:rPr>
        <w:t xml:space="preserve">Lead organization:</w:t>
      </w:r>
      <w:r w:rsidDel="00000000" w:rsidR="00000000" w:rsidRPr="00000000">
        <w:rPr>
          <w:rtl w:val="0"/>
        </w:rPr>
        <w:t xml:space="preserve"> Pan American Health Organization (PAHO)</w:t>
      </w:r>
    </w:p>
    <w:p w:rsidR="00000000" w:rsidDel="00000000" w:rsidP="00000000" w:rsidRDefault="00000000" w:rsidRPr="00000000" w14:paraId="0000000D">
      <w:pPr>
        <w:jc w:val="center"/>
        <w:rPr/>
      </w:pPr>
      <w:r w:rsidDel="00000000" w:rsidR="00000000" w:rsidRPr="00000000">
        <w:rPr>
          <w:b w:val="1"/>
          <w:rtl w:val="0"/>
        </w:rPr>
        <w:t xml:space="preserve">Co-lead organization</w:t>
      </w:r>
      <w:r w:rsidDel="00000000" w:rsidR="00000000" w:rsidRPr="00000000">
        <w:rPr>
          <w:rtl w:val="0"/>
        </w:rPr>
        <w:t xml:space="preserve">: United Nations for Disaster Risk Reduction (UNDRR)</w:t>
      </w:r>
    </w:p>
    <w:p w:rsidR="00000000" w:rsidDel="00000000" w:rsidP="00000000" w:rsidRDefault="00000000" w:rsidRPr="00000000" w14:paraId="0000000E">
      <w:pPr>
        <w:jc w:val="center"/>
        <w:rPr/>
      </w:pPr>
      <w:r w:rsidDel="00000000" w:rsidR="00000000" w:rsidRPr="00000000">
        <w:rPr>
          <w:b w:val="1"/>
          <w:rtl w:val="0"/>
        </w:rPr>
        <w:t xml:space="preserve">Contributing Agencies: </w:t>
      </w:r>
      <w:r w:rsidDel="00000000" w:rsidR="00000000" w:rsidRPr="00000000">
        <w:rPr>
          <w:rtl w:val="0"/>
        </w:rPr>
        <w:t xml:space="preserve">United Nations Development Programme (UNDP), Coordination Center for the Prevention of Natural Disasters in Central America (CEPREDENAC), Global Network of Civil Society Organizations for Disaster Reduction (GNDR)</w:t>
      </w:r>
    </w:p>
    <w:p w:rsidR="00000000" w:rsidDel="00000000" w:rsidP="00000000" w:rsidRDefault="00000000" w:rsidRPr="00000000" w14:paraId="0000000F">
      <w:pPr>
        <w:tabs>
          <w:tab w:val="left" w:pos="2542"/>
        </w:tabs>
        <w:spacing w:after="120" w:lineRule="auto"/>
        <w:jc w:val="center"/>
        <w:rPr/>
      </w:pPr>
      <w:r w:rsidDel="00000000" w:rsidR="00000000" w:rsidRPr="00000000">
        <w:rPr/>
        <w:drawing>
          <wp:inline distB="0" distT="0" distL="0" distR="0">
            <wp:extent cx="7080091" cy="86448"/>
            <wp:effectExtent b="0" l="0" r="0" t="0"/>
            <wp:docPr id="310"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7080091" cy="86448"/>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tabs>
          <w:tab w:val="left" w:pos="2542"/>
        </w:tabs>
        <w:spacing w:after="120" w:lineRule="auto"/>
        <w:jc w:val="center"/>
        <w:rPr/>
      </w:pPr>
      <w:r w:rsidDel="00000000" w:rsidR="00000000" w:rsidRPr="00000000">
        <w:rPr>
          <w:rtl w:val="0"/>
        </w:rPr>
      </w:r>
    </w:p>
    <w:p w:rsidR="00000000" w:rsidDel="00000000" w:rsidP="00000000" w:rsidRDefault="00000000" w:rsidRPr="00000000" w14:paraId="00000011">
      <w:pPr>
        <w:pStyle w:val="Heading2"/>
        <w:rPr/>
      </w:pPr>
      <w:r w:rsidDel="00000000" w:rsidR="00000000" w:rsidRPr="00000000">
        <w:rPr>
          <w:rtl w:val="0"/>
        </w:rPr>
        <w:t xml:space="preserve">GOALS</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Unpack the governance issues to address the multisectoral nature of systemic risk and its practical application at different levels of government, regional, national, subnational and community.</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Share some current practices that have examined systemic risks, including those arising from the COVID-19 pandemic, to understand the challenges and opportunities to improve the governance and intersectoral coordination of such complex situations.</w:t>
      </w:r>
      <w:r w:rsidDel="00000000" w:rsidR="00000000" w:rsidRPr="00000000">
        <w:rPr>
          <w:rtl w:val="0"/>
        </w:rPr>
      </w:r>
    </w:p>
    <w:p w:rsidR="00000000" w:rsidDel="00000000" w:rsidP="00000000" w:rsidRDefault="00000000" w:rsidRPr="00000000" w14:paraId="00000014">
      <w:pPr>
        <w:pStyle w:val="Heading2"/>
        <w:rPr/>
      </w:pPr>
      <w:r w:rsidDel="00000000" w:rsidR="00000000" w:rsidRPr="00000000">
        <w:rPr>
          <w:rtl w:val="0"/>
        </w:rPr>
        <w:t xml:space="preserve">MEASURABLE OUTCOMES</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Relevant national, subnational and local recommendations that strengthen disaster risk governance in the context of systemic risk are identified.</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Best practices that strengthen intersectoral coordination mechanisms during the COVID-19 pandemic are identified.</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pStyle w:val="Heading2"/>
        <w:rPr/>
      </w:pPr>
      <w:r w:rsidDel="00000000" w:rsidR="00000000" w:rsidRPr="00000000">
        <w:rPr>
          <w:rtl w:val="0"/>
        </w:rPr>
        <w:t xml:space="preserve">GENERAL DESCRIPTION</w:t>
      </w:r>
    </w:p>
    <w:p w:rsidR="00000000" w:rsidDel="00000000" w:rsidP="00000000" w:rsidRDefault="00000000" w:rsidRPr="00000000" w14:paraId="00000019">
      <w:pPr>
        <w:jc w:val="both"/>
        <w:rPr/>
      </w:pPr>
      <w:bookmarkStart w:colFirst="0" w:colLast="0" w:name="_heading=h.gjdgxs" w:id="0"/>
      <w:bookmarkEnd w:id="0"/>
      <w:r w:rsidDel="00000000" w:rsidR="00000000" w:rsidRPr="00000000">
        <w:rPr>
          <w:rtl w:val="0"/>
        </w:rPr>
        <w:t xml:space="preserve">The Sendai Framework for disaster risk reduction priority for action 2 clearly states the need of “Strengthening disaster risk governance to manage disaster risk”, and the COVID-19 pandemic has made this priority even stronger. Intersectoral coordination, legal framework, policy and plans, up to date risk information to drive decision making, clear participation mechanisms and integration from global, to regional and local levels are some governance elements that the current pandemic has highlighted as key to manage complex situations in the context of systemic risk.</w:t>
      </w:r>
    </w:p>
    <w:p w:rsidR="00000000" w:rsidDel="00000000" w:rsidP="00000000" w:rsidRDefault="00000000" w:rsidRPr="00000000" w14:paraId="0000001A">
      <w:pPr>
        <w:jc w:val="both"/>
        <w:rPr/>
      </w:pPr>
      <w:r w:rsidDel="00000000" w:rsidR="00000000" w:rsidRPr="00000000">
        <w:rPr>
          <w:rtl w:val="0"/>
        </w:rPr>
        <w:t xml:space="preserve">The concept of systemic risk emphasizes the need to understand and manage the interdependent and multidimensional risk variables that are created and magnified between different systems as they interact, across different geographic or spatial scales. This premise was endorsed by the COVID-19 pandemic by showing how an emergency that began as a sanitary one, affected every one of the socio-economic sectors and territorial levels, from the global to the subnational levels.</w:t>
      </w:r>
    </w:p>
    <w:p w:rsidR="00000000" w:rsidDel="00000000" w:rsidP="00000000" w:rsidRDefault="00000000" w:rsidRPr="00000000" w14:paraId="0000001B">
      <w:pPr>
        <w:jc w:val="both"/>
        <w:rPr/>
      </w:pPr>
      <w:r w:rsidDel="00000000" w:rsidR="00000000" w:rsidRPr="00000000">
        <w:rPr>
          <w:rtl w:val="0"/>
        </w:rPr>
        <w:t xml:space="preserve">A prospective management of systemic risk implies, among others, the need for national governments to review their policies, regulations and fiscal incentives that regulate and shape development. It is in the territories where transformations in development practices must manifest and be implemented. A proper interaction between and among sectors must ensure that intersectoral linkages are well understood and accounted for, and this may include incentive mechanisms and practical opportunities for cross collaboration.</w:t>
      </w:r>
    </w:p>
    <w:p w:rsidR="00000000" w:rsidDel="00000000" w:rsidP="00000000" w:rsidRDefault="00000000" w:rsidRPr="00000000" w14:paraId="0000001C">
      <w:pPr>
        <w:jc w:val="both"/>
        <w:rPr/>
      </w:pPr>
      <w:r w:rsidDel="00000000" w:rsidR="00000000" w:rsidRPr="00000000">
        <w:rPr>
          <w:rtl w:val="0"/>
        </w:rPr>
        <w:t xml:space="preserve">In this context, the management of risk information with a multi-hazard and intersectoral approach would be required, along with a new generation of more effective and efficient early warning systems that advise of an imminent hazard; but also, monitor key exposure and vulnerability indicators to allow preparedness and risk reduction activities.</w:t>
      </w:r>
    </w:p>
    <w:p w:rsidR="00000000" w:rsidDel="00000000" w:rsidP="00000000" w:rsidRDefault="00000000" w:rsidRPr="00000000" w14:paraId="0000001D">
      <w:pPr>
        <w:jc w:val="both"/>
        <w:rPr/>
      </w:pPr>
      <w:r w:rsidDel="00000000" w:rsidR="00000000" w:rsidRPr="00000000">
        <w:rPr>
          <w:rtl w:val="0"/>
        </w:rPr>
        <w:t xml:space="preserve">Planning for development continues to be one of the best options, a systems approach to avoiding fragmented responses while recognizing existing organizational and operational challenges that look into the articulation of different sectors, actors, and levels of government. Development planning is the privileged mechanism to give coherence to these different dimensions in search of a common goal and through articulated practices. Integrating DRR into development planning as well as mainstreaming DRR within and across sectors ensures that decisions and activities are risk-centered and risk-informed. This will also help strengthen resilience of the different sectors and their respective systems. </w:t>
      </w:r>
    </w:p>
    <w:p w:rsidR="00000000" w:rsidDel="00000000" w:rsidP="00000000" w:rsidRDefault="00000000" w:rsidRPr="00000000" w14:paraId="0000001E">
      <w:pPr>
        <w:jc w:val="both"/>
        <w:rPr/>
      </w:pPr>
      <w:r w:rsidDel="00000000" w:rsidR="00000000" w:rsidRPr="00000000">
        <w:rPr>
          <w:rtl w:val="0"/>
        </w:rPr>
        <w:t xml:space="preserve">National frameworks for the Governance of systemic risk would also need to include financial mechanisms to encourage the allocation of capital to investments that prevent and reduce risk and strengthen resilience. These should address residual risk as well as current risks and include elements to finance the disaster response when they occur, constitute disaster recovery funds as well as promote resilient public investments.</w:t>
      </w:r>
    </w:p>
    <w:p w:rsidR="00000000" w:rsidDel="00000000" w:rsidP="00000000" w:rsidRDefault="00000000" w:rsidRPr="00000000" w14:paraId="0000001F">
      <w:pPr>
        <w:jc w:val="both"/>
        <w:rPr/>
      </w:pPr>
      <w:r w:rsidDel="00000000" w:rsidR="00000000" w:rsidRPr="00000000">
        <w:rPr>
          <w:rtl w:val="0"/>
        </w:rPr>
        <w:t xml:space="preserve">The progress documented in the Sendai Framework follow-up mechanism shows a marginal achievement of the indicators in the region, mainly related to disaster risk governance. The effects of disasters are more devastating at the local level, where disaster risk governance policies are less well-implemented.</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It is proposed that disaster risk governance should have a horizontal implementation approach in order to build intervention strategies at the local administrative level. </w:t>
      </w:r>
    </w:p>
    <w:p w:rsidR="00000000" w:rsidDel="00000000" w:rsidP="00000000" w:rsidRDefault="00000000" w:rsidRPr="00000000" w14:paraId="00000023">
      <w:pPr>
        <w:jc w:val="both"/>
        <w:rPr/>
      </w:pPr>
      <w:r w:rsidDel="00000000" w:rsidR="00000000" w:rsidRPr="00000000">
        <w:rPr>
          <w:rtl w:val="0"/>
        </w:rPr>
        <w:t xml:space="preserve">According to the data reported by EM-DAT, 2,725 disasters occurred in the region of the Americas and the Caribbean during the period 2000 to July 26, 2021, of which natural phenomena are the most frequent hazard (73%). These disasters have claimed 290,080 lives, have affected 277,396,485 people, and have cost the countries an estimated USD 1.29 billion in damages. </w:t>
      </w:r>
    </w:p>
    <w:p w:rsidR="00000000" w:rsidDel="00000000" w:rsidP="00000000" w:rsidRDefault="00000000" w:rsidRPr="00000000" w14:paraId="00000024">
      <w:pPr>
        <w:tabs>
          <w:tab w:val="left" w:pos="2542"/>
        </w:tabs>
        <w:spacing w:after="120" w:lineRule="auto"/>
        <w:jc w:val="both"/>
        <w:rPr/>
      </w:pPr>
      <w:r w:rsidDel="00000000" w:rsidR="00000000" w:rsidRPr="00000000">
        <w:rPr>
          <w:rtl w:val="0"/>
        </w:rPr>
      </w:r>
    </w:p>
    <w:p w:rsidR="00000000" w:rsidDel="00000000" w:rsidP="00000000" w:rsidRDefault="00000000" w:rsidRPr="00000000" w14:paraId="00000025">
      <w:pPr>
        <w:tabs>
          <w:tab w:val="left" w:pos="2542"/>
        </w:tabs>
        <w:spacing w:after="120" w:lineRule="auto"/>
        <w:jc w:val="both"/>
        <w:rPr>
          <w:sz w:val="20"/>
          <w:szCs w:val="20"/>
        </w:rPr>
      </w:pPr>
      <w:r w:rsidDel="00000000" w:rsidR="00000000" w:rsidRPr="00000000">
        <w:rPr>
          <w:sz w:val="20"/>
          <w:szCs w:val="20"/>
          <w:rtl w:val="0"/>
        </w:rPr>
        <w:t xml:space="preserve">Table 1. Occurrence of disasters in Latin America and the Caribbean from 2000 to 26 July 2021</w:t>
      </w:r>
    </w:p>
    <w:tbl>
      <w:tblPr>
        <w:tblStyle w:val="Table1"/>
        <w:tblW w:w="8246.0" w:type="dxa"/>
        <w:jc w:val="left"/>
        <w:tblInd w:w="0.0" w:type="dxa"/>
        <w:tblLayout w:type="fixed"/>
        <w:tblLook w:val="0400"/>
      </w:tblPr>
      <w:tblGrid>
        <w:gridCol w:w="1616"/>
        <w:gridCol w:w="1710"/>
        <w:gridCol w:w="1245"/>
        <w:gridCol w:w="1470"/>
        <w:gridCol w:w="2205"/>
        <w:tblGridChange w:id="0">
          <w:tblGrid>
            <w:gridCol w:w="1616"/>
            <w:gridCol w:w="1710"/>
            <w:gridCol w:w="1245"/>
            <w:gridCol w:w="1470"/>
            <w:gridCol w:w="2205"/>
          </w:tblGrid>
        </w:tblGridChange>
      </w:tblGrid>
      <w:tr>
        <w:trPr>
          <w:cantSplit w:val="0"/>
          <w:trHeight w:val="283" w:hRule="atLeast"/>
          <w:tblHeader w:val="0"/>
        </w:trPr>
        <w:tc>
          <w:tcPr>
            <w:tcBorders>
              <w:top w:color="ffffff" w:space="0" w:sz="4" w:val="single"/>
              <w:left w:color="ffffff" w:space="0" w:sz="4" w:val="single"/>
              <w:bottom w:color="ffffff" w:space="0" w:sz="4" w:val="single"/>
            </w:tcBorders>
            <w:shd w:fill="e7e6e6" w:val="clear"/>
            <w:tcMar>
              <w:top w:w="0.0" w:type="dxa"/>
              <w:left w:w="115.0" w:type="dxa"/>
              <w:bottom w:w="0.0" w:type="dxa"/>
              <w:right w:w="115.0" w:type="dxa"/>
            </w:tcMar>
          </w:tcPr>
          <w:p w:rsidR="00000000" w:rsidDel="00000000" w:rsidP="00000000" w:rsidRDefault="00000000" w:rsidRPr="00000000" w14:paraId="00000026">
            <w:pPr>
              <w:spacing w:after="0" w:before="119" w:line="240" w:lineRule="auto"/>
              <w:ind w:left="80" w:right="155" w:firstLine="0"/>
              <w:rPr>
                <w:sz w:val="26"/>
                <w:szCs w:val="26"/>
              </w:rPr>
            </w:pPr>
            <w:r w:rsidDel="00000000" w:rsidR="00000000" w:rsidRPr="00000000">
              <w:rPr>
                <w:color w:val="000000"/>
                <w:sz w:val="18"/>
                <w:szCs w:val="18"/>
                <w:rtl w:val="0"/>
              </w:rPr>
              <w:t xml:space="preserve">Type of Disaster</w:t>
            </w:r>
            <w:r w:rsidDel="00000000" w:rsidR="00000000" w:rsidRPr="00000000">
              <w:rPr>
                <w:rtl w:val="0"/>
              </w:rPr>
            </w:r>
          </w:p>
        </w:tc>
        <w:tc>
          <w:tcPr>
            <w:tcBorders>
              <w:top w:color="ffffff" w:space="0" w:sz="4" w:val="single"/>
              <w:bottom w:color="ffffff" w:space="0" w:sz="4" w:val="single"/>
            </w:tcBorders>
            <w:shd w:fill="e7e6e6" w:val="clear"/>
            <w:tcMar>
              <w:top w:w="0.0" w:type="dxa"/>
              <w:left w:w="115.0" w:type="dxa"/>
              <w:bottom w:w="0.0" w:type="dxa"/>
              <w:right w:w="115.0" w:type="dxa"/>
            </w:tcMar>
          </w:tcPr>
          <w:p w:rsidR="00000000" w:rsidDel="00000000" w:rsidP="00000000" w:rsidRDefault="00000000" w:rsidRPr="00000000" w14:paraId="00000027">
            <w:pPr>
              <w:spacing w:after="0" w:before="119" w:line="240" w:lineRule="auto"/>
              <w:ind w:left="80" w:right="155" w:firstLine="0"/>
              <w:rPr>
                <w:sz w:val="26"/>
                <w:szCs w:val="26"/>
              </w:rPr>
            </w:pPr>
            <w:r w:rsidDel="00000000" w:rsidR="00000000" w:rsidRPr="00000000">
              <w:rPr>
                <w:color w:val="000000"/>
                <w:sz w:val="18"/>
                <w:szCs w:val="18"/>
                <w:rtl w:val="0"/>
              </w:rPr>
              <w:t xml:space="preserve">No. of </w:t>
            </w:r>
            <w:r w:rsidDel="00000000" w:rsidR="00000000" w:rsidRPr="00000000">
              <w:rPr>
                <w:sz w:val="18"/>
                <w:szCs w:val="18"/>
                <w:rtl w:val="0"/>
              </w:rPr>
              <w:t xml:space="preserve">d</w:t>
            </w:r>
            <w:r w:rsidDel="00000000" w:rsidR="00000000" w:rsidRPr="00000000">
              <w:rPr>
                <w:color w:val="000000"/>
                <w:sz w:val="18"/>
                <w:szCs w:val="18"/>
                <w:rtl w:val="0"/>
              </w:rPr>
              <w:t xml:space="preserve">isasters occurred</w:t>
            </w:r>
            <w:r w:rsidDel="00000000" w:rsidR="00000000" w:rsidRPr="00000000">
              <w:rPr>
                <w:rtl w:val="0"/>
              </w:rPr>
            </w:r>
          </w:p>
        </w:tc>
        <w:tc>
          <w:tcPr>
            <w:tcBorders>
              <w:top w:color="ffffff" w:space="0" w:sz="4" w:val="single"/>
              <w:bottom w:color="ffffff" w:space="0" w:sz="4" w:val="single"/>
            </w:tcBorders>
            <w:shd w:fill="e7e6e6" w:val="clear"/>
            <w:tcMar>
              <w:top w:w="0.0" w:type="dxa"/>
              <w:left w:w="115.0" w:type="dxa"/>
              <w:bottom w:w="0.0" w:type="dxa"/>
              <w:right w:w="115.0" w:type="dxa"/>
            </w:tcMar>
          </w:tcPr>
          <w:p w:rsidR="00000000" w:rsidDel="00000000" w:rsidP="00000000" w:rsidRDefault="00000000" w:rsidRPr="00000000" w14:paraId="00000028">
            <w:pPr>
              <w:spacing w:after="0" w:before="119" w:line="240" w:lineRule="auto"/>
              <w:ind w:left="80" w:right="155" w:firstLine="0"/>
              <w:rPr>
                <w:sz w:val="26"/>
                <w:szCs w:val="26"/>
              </w:rPr>
            </w:pPr>
            <w:r w:rsidDel="00000000" w:rsidR="00000000" w:rsidRPr="00000000">
              <w:rPr>
                <w:color w:val="000000"/>
                <w:sz w:val="18"/>
                <w:szCs w:val="18"/>
                <w:rtl w:val="0"/>
              </w:rPr>
              <w:t xml:space="preserve">Deaths</w:t>
            </w:r>
            <w:r w:rsidDel="00000000" w:rsidR="00000000" w:rsidRPr="00000000">
              <w:rPr>
                <w:rtl w:val="0"/>
              </w:rPr>
            </w:r>
          </w:p>
        </w:tc>
        <w:tc>
          <w:tcPr>
            <w:tcBorders>
              <w:top w:color="ffffff" w:space="0" w:sz="4" w:val="single"/>
              <w:bottom w:color="ffffff" w:space="0" w:sz="4" w:val="single"/>
            </w:tcBorders>
            <w:shd w:fill="e7e6e6" w:val="clear"/>
            <w:tcMar>
              <w:top w:w="0.0" w:type="dxa"/>
              <w:left w:w="115.0" w:type="dxa"/>
              <w:bottom w:w="0.0" w:type="dxa"/>
              <w:right w:w="115.0" w:type="dxa"/>
            </w:tcMar>
          </w:tcPr>
          <w:p w:rsidR="00000000" w:rsidDel="00000000" w:rsidP="00000000" w:rsidRDefault="00000000" w:rsidRPr="00000000" w14:paraId="00000029">
            <w:pPr>
              <w:spacing w:after="0" w:before="119" w:line="240" w:lineRule="auto"/>
              <w:ind w:left="80" w:right="155" w:firstLine="0"/>
              <w:rPr>
                <w:sz w:val="26"/>
                <w:szCs w:val="26"/>
              </w:rPr>
            </w:pPr>
            <w:r w:rsidDel="00000000" w:rsidR="00000000" w:rsidRPr="00000000">
              <w:rPr>
                <w:color w:val="000000"/>
                <w:sz w:val="18"/>
                <w:szCs w:val="18"/>
                <w:rtl w:val="0"/>
              </w:rPr>
              <w:t xml:space="preserve">Affected</w:t>
            </w:r>
            <w:r w:rsidDel="00000000" w:rsidR="00000000" w:rsidRPr="00000000">
              <w:rPr>
                <w:rtl w:val="0"/>
              </w:rPr>
            </w:r>
          </w:p>
        </w:tc>
        <w:tc>
          <w:tcPr>
            <w:tcBorders>
              <w:top w:color="ffffff" w:space="0" w:sz="4" w:val="single"/>
              <w:bottom w:color="ffffff" w:space="0" w:sz="4" w:val="single"/>
              <w:right w:color="ffffff" w:space="0" w:sz="4" w:val="single"/>
            </w:tcBorders>
            <w:shd w:fill="e7e6e6" w:val="clear"/>
            <w:tcMar>
              <w:top w:w="0.0" w:type="dxa"/>
              <w:left w:w="115.0" w:type="dxa"/>
              <w:bottom w:w="0.0" w:type="dxa"/>
              <w:right w:w="115.0" w:type="dxa"/>
            </w:tcMar>
          </w:tcPr>
          <w:p w:rsidR="00000000" w:rsidDel="00000000" w:rsidP="00000000" w:rsidRDefault="00000000" w:rsidRPr="00000000" w14:paraId="0000002A">
            <w:pPr>
              <w:spacing w:after="0" w:before="119" w:line="240" w:lineRule="auto"/>
              <w:ind w:left="80" w:right="155" w:firstLine="0"/>
              <w:rPr>
                <w:sz w:val="26"/>
                <w:szCs w:val="26"/>
              </w:rPr>
            </w:pPr>
            <w:r w:rsidDel="00000000" w:rsidR="00000000" w:rsidRPr="00000000">
              <w:rPr>
                <w:color w:val="000000"/>
                <w:sz w:val="18"/>
                <w:szCs w:val="18"/>
                <w:rtl w:val="0"/>
              </w:rPr>
              <w:t xml:space="preserve">Cost of damages</w:t>
            </w:r>
            <w:r w:rsidDel="00000000" w:rsidR="00000000" w:rsidRPr="00000000">
              <w:rPr>
                <w:rtl w:val="0"/>
              </w:rPr>
            </w:r>
          </w:p>
          <w:p w:rsidR="00000000" w:rsidDel="00000000" w:rsidP="00000000" w:rsidRDefault="00000000" w:rsidRPr="00000000" w14:paraId="0000002B">
            <w:pPr>
              <w:spacing w:after="0" w:before="119" w:line="240" w:lineRule="auto"/>
              <w:ind w:left="80" w:right="155" w:firstLine="0"/>
              <w:rPr>
                <w:sz w:val="26"/>
                <w:szCs w:val="26"/>
              </w:rPr>
            </w:pPr>
            <w:r w:rsidDel="00000000" w:rsidR="00000000" w:rsidRPr="00000000">
              <w:rPr>
                <w:color w:val="000000"/>
                <w:sz w:val="18"/>
                <w:szCs w:val="18"/>
                <w:rtl w:val="0"/>
              </w:rPr>
              <w:t xml:space="preserve"> ('000 US$)</w:t>
            </w:r>
            <w:r w:rsidDel="00000000" w:rsidR="00000000" w:rsidRPr="00000000">
              <w:rPr>
                <w:rtl w:val="0"/>
              </w:rPr>
            </w:r>
          </w:p>
        </w:tc>
      </w:tr>
      <w:tr>
        <w:trPr>
          <w:cantSplit w:val="0"/>
          <w:trHeight w:val="283" w:hRule="atLeast"/>
          <w:tblHeader w:val="0"/>
        </w:trPr>
        <w:tc>
          <w:tcPr>
            <w:tcBorders>
              <w:top w:color="ffffff" w:space="0" w:sz="4" w:val="single"/>
              <w:left w:color="ffffff" w:space="0" w:sz="4" w:val="single"/>
              <w:bottom w:color="ffffff" w:space="0" w:sz="4" w:val="single"/>
              <w:right w:color="ffffff" w:space="0" w:sz="4" w:val="single"/>
            </w:tcBorders>
            <w:shd w:fill="e7e6e6" w:val="clear"/>
            <w:tcMar>
              <w:top w:w="0.0" w:type="dxa"/>
              <w:left w:w="115.0" w:type="dxa"/>
              <w:bottom w:w="0.0" w:type="dxa"/>
              <w:right w:w="115.0" w:type="dxa"/>
            </w:tcMar>
          </w:tcPr>
          <w:p w:rsidR="00000000" w:rsidDel="00000000" w:rsidP="00000000" w:rsidRDefault="00000000" w:rsidRPr="00000000" w14:paraId="0000002C">
            <w:pPr>
              <w:spacing w:after="0" w:before="119" w:line="240" w:lineRule="auto"/>
              <w:ind w:left="80" w:right="155" w:firstLine="0"/>
              <w:rPr>
                <w:sz w:val="26"/>
                <w:szCs w:val="26"/>
              </w:rPr>
            </w:pPr>
            <w:r w:rsidDel="00000000" w:rsidR="00000000" w:rsidRPr="00000000">
              <w:rPr>
                <w:color w:val="000000"/>
                <w:sz w:val="18"/>
                <w:szCs w:val="18"/>
                <w:rtl w:val="0"/>
              </w:rPr>
              <w:t xml:space="preserve">Biological</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e7e6e6" w:val="clear"/>
            <w:tcMar>
              <w:top w:w="0.0" w:type="dxa"/>
              <w:left w:w="115.0" w:type="dxa"/>
              <w:bottom w:w="0.0" w:type="dxa"/>
              <w:right w:w="115.0" w:type="dxa"/>
            </w:tcMar>
          </w:tcPr>
          <w:p w:rsidR="00000000" w:rsidDel="00000000" w:rsidP="00000000" w:rsidRDefault="00000000" w:rsidRPr="00000000" w14:paraId="0000002D">
            <w:pPr>
              <w:spacing w:after="0" w:before="119" w:line="240" w:lineRule="auto"/>
              <w:ind w:left="80" w:right="155" w:firstLine="0"/>
              <w:rPr>
                <w:sz w:val="26"/>
                <w:szCs w:val="26"/>
              </w:rPr>
            </w:pPr>
            <w:r w:rsidDel="00000000" w:rsidR="00000000" w:rsidRPr="00000000">
              <w:rPr>
                <w:color w:val="000000"/>
                <w:sz w:val="18"/>
                <w:szCs w:val="18"/>
                <w:rtl w:val="0"/>
              </w:rPr>
              <w:t xml:space="preserve">81</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e7e6e6" w:val="clear"/>
            <w:tcMar>
              <w:top w:w="0.0" w:type="dxa"/>
              <w:left w:w="115.0" w:type="dxa"/>
              <w:bottom w:w="0.0" w:type="dxa"/>
              <w:right w:w="115.0" w:type="dxa"/>
            </w:tcMar>
          </w:tcPr>
          <w:p w:rsidR="00000000" w:rsidDel="00000000" w:rsidP="00000000" w:rsidRDefault="00000000" w:rsidRPr="00000000" w14:paraId="0000002E">
            <w:pPr>
              <w:spacing w:after="0" w:before="119" w:line="240" w:lineRule="auto"/>
              <w:ind w:left="80" w:right="155" w:firstLine="0"/>
              <w:rPr>
                <w:sz w:val="26"/>
                <w:szCs w:val="26"/>
              </w:rPr>
            </w:pPr>
            <w:r w:rsidDel="00000000" w:rsidR="00000000" w:rsidRPr="00000000">
              <w:rPr>
                <w:color w:val="000000"/>
                <w:sz w:val="18"/>
                <w:szCs w:val="18"/>
                <w:rtl w:val="0"/>
              </w:rPr>
              <w:t xml:space="preserve">9,599</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e7e6e6" w:val="clear"/>
            <w:tcMar>
              <w:top w:w="0.0" w:type="dxa"/>
              <w:left w:w="115.0" w:type="dxa"/>
              <w:bottom w:w="0.0" w:type="dxa"/>
              <w:right w:w="115.0" w:type="dxa"/>
            </w:tcMar>
          </w:tcPr>
          <w:p w:rsidR="00000000" w:rsidDel="00000000" w:rsidP="00000000" w:rsidRDefault="00000000" w:rsidRPr="00000000" w14:paraId="0000002F">
            <w:pPr>
              <w:spacing w:after="0" w:before="119" w:line="240" w:lineRule="auto"/>
              <w:ind w:left="80" w:right="155" w:firstLine="0"/>
              <w:rPr>
                <w:sz w:val="26"/>
                <w:szCs w:val="26"/>
              </w:rPr>
            </w:pPr>
            <w:r w:rsidDel="00000000" w:rsidR="00000000" w:rsidRPr="00000000">
              <w:rPr>
                <w:color w:val="000000"/>
                <w:sz w:val="18"/>
                <w:szCs w:val="18"/>
                <w:rtl w:val="0"/>
              </w:rPr>
              <w:t xml:space="preserve">3,256,578</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e7e6e6" w:val="clear"/>
            <w:tcMar>
              <w:top w:w="0.0" w:type="dxa"/>
              <w:left w:w="115.0" w:type="dxa"/>
              <w:bottom w:w="0.0" w:type="dxa"/>
              <w:right w:w="115.0" w:type="dxa"/>
            </w:tcMar>
          </w:tcPr>
          <w:p w:rsidR="00000000" w:rsidDel="00000000" w:rsidP="00000000" w:rsidRDefault="00000000" w:rsidRPr="00000000" w14:paraId="00000030">
            <w:pPr>
              <w:spacing w:after="0" w:before="119" w:line="240" w:lineRule="auto"/>
              <w:ind w:left="80" w:right="155" w:firstLine="0"/>
              <w:rPr>
                <w:sz w:val="26"/>
                <w:szCs w:val="26"/>
              </w:rPr>
            </w:pPr>
            <w:r w:rsidDel="00000000" w:rsidR="00000000" w:rsidRPr="00000000">
              <w:rPr>
                <w:color w:val="000000"/>
                <w:sz w:val="18"/>
                <w:szCs w:val="18"/>
                <w:rtl w:val="0"/>
              </w:rPr>
              <w:t xml:space="preserve">N/A</w:t>
            </w:r>
            <w:r w:rsidDel="00000000" w:rsidR="00000000" w:rsidRPr="00000000">
              <w:rPr>
                <w:rtl w:val="0"/>
              </w:rPr>
            </w:r>
          </w:p>
        </w:tc>
      </w:tr>
      <w:tr>
        <w:trPr>
          <w:cantSplit w:val="0"/>
          <w:trHeight w:val="283" w:hRule="atLeast"/>
          <w:tblHeader w:val="0"/>
        </w:trPr>
        <w:tc>
          <w:tcPr>
            <w:tcBorders>
              <w:top w:color="ffffff" w:space="0" w:sz="4" w:val="single"/>
              <w:left w:color="ffffff" w:space="0" w:sz="4" w:val="single"/>
              <w:bottom w:color="ffffff" w:space="0" w:sz="4" w:val="single"/>
              <w:right w:color="ffffff" w:space="0" w:sz="4" w:val="single"/>
            </w:tcBorders>
            <w:shd w:fill="e7e6e6" w:val="clear"/>
            <w:tcMar>
              <w:top w:w="0.0" w:type="dxa"/>
              <w:left w:w="115.0" w:type="dxa"/>
              <w:bottom w:w="0.0" w:type="dxa"/>
              <w:right w:w="115.0" w:type="dxa"/>
            </w:tcMar>
          </w:tcPr>
          <w:p w:rsidR="00000000" w:rsidDel="00000000" w:rsidP="00000000" w:rsidRDefault="00000000" w:rsidRPr="00000000" w14:paraId="00000031">
            <w:pPr>
              <w:spacing w:after="0" w:before="119" w:line="240" w:lineRule="auto"/>
              <w:ind w:left="80" w:right="155" w:firstLine="0"/>
              <w:rPr>
                <w:sz w:val="26"/>
                <w:szCs w:val="26"/>
              </w:rPr>
            </w:pPr>
            <w:r w:rsidDel="00000000" w:rsidR="00000000" w:rsidRPr="00000000">
              <w:rPr>
                <w:color w:val="000000"/>
                <w:sz w:val="18"/>
                <w:szCs w:val="18"/>
                <w:rtl w:val="0"/>
              </w:rPr>
              <w:t xml:space="preserve">Climatological</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e7e6e6" w:val="clear"/>
            <w:tcMar>
              <w:top w:w="0.0" w:type="dxa"/>
              <w:left w:w="115.0" w:type="dxa"/>
              <w:bottom w:w="0.0" w:type="dxa"/>
              <w:right w:w="115.0" w:type="dxa"/>
            </w:tcMar>
          </w:tcPr>
          <w:p w:rsidR="00000000" w:rsidDel="00000000" w:rsidP="00000000" w:rsidRDefault="00000000" w:rsidRPr="00000000" w14:paraId="00000032">
            <w:pPr>
              <w:spacing w:after="0" w:before="119" w:line="240" w:lineRule="auto"/>
              <w:ind w:left="80" w:right="155" w:firstLine="0"/>
              <w:rPr>
                <w:sz w:val="26"/>
                <w:szCs w:val="26"/>
              </w:rPr>
            </w:pPr>
            <w:r w:rsidDel="00000000" w:rsidR="00000000" w:rsidRPr="00000000">
              <w:rPr>
                <w:color w:val="000000"/>
                <w:sz w:val="18"/>
                <w:szCs w:val="18"/>
                <w:rtl w:val="0"/>
              </w:rPr>
              <w:t xml:space="preserve">194</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e7e6e6" w:val="clear"/>
            <w:tcMar>
              <w:top w:w="0.0" w:type="dxa"/>
              <w:left w:w="115.0" w:type="dxa"/>
              <w:bottom w:w="0.0" w:type="dxa"/>
              <w:right w:w="115.0" w:type="dxa"/>
            </w:tcMar>
          </w:tcPr>
          <w:p w:rsidR="00000000" w:rsidDel="00000000" w:rsidP="00000000" w:rsidRDefault="00000000" w:rsidRPr="00000000" w14:paraId="00000033">
            <w:pPr>
              <w:spacing w:after="0" w:before="119" w:line="240" w:lineRule="auto"/>
              <w:ind w:left="80" w:right="155" w:firstLine="0"/>
              <w:rPr>
                <w:sz w:val="26"/>
                <w:szCs w:val="26"/>
              </w:rPr>
            </w:pPr>
            <w:r w:rsidDel="00000000" w:rsidR="00000000" w:rsidRPr="00000000">
              <w:rPr>
                <w:color w:val="000000"/>
                <w:sz w:val="18"/>
                <w:szCs w:val="18"/>
                <w:rtl w:val="0"/>
              </w:rPr>
              <w:t xml:space="preserve">503</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e7e6e6" w:val="clear"/>
            <w:tcMar>
              <w:top w:w="0.0" w:type="dxa"/>
              <w:left w:w="115.0" w:type="dxa"/>
              <w:bottom w:w="0.0" w:type="dxa"/>
              <w:right w:w="115.0" w:type="dxa"/>
            </w:tcMar>
          </w:tcPr>
          <w:p w:rsidR="00000000" w:rsidDel="00000000" w:rsidP="00000000" w:rsidRDefault="00000000" w:rsidRPr="00000000" w14:paraId="00000034">
            <w:pPr>
              <w:spacing w:after="0" w:before="119" w:line="240" w:lineRule="auto"/>
              <w:ind w:left="80" w:right="155" w:firstLine="0"/>
              <w:rPr>
                <w:sz w:val="26"/>
                <w:szCs w:val="26"/>
              </w:rPr>
            </w:pPr>
            <w:r w:rsidDel="00000000" w:rsidR="00000000" w:rsidRPr="00000000">
              <w:rPr>
                <w:color w:val="000000"/>
                <w:sz w:val="18"/>
                <w:szCs w:val="18"/>
                <w:rtl w:val="0"/>
              </w:rPr>
              <w:t xml:space="preserve">54,580,352</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e7e6e6" w:val="clear"/>
            <w:tcMar>
              <w:top w:w="0.0" w:type="dxa"/>
              <w:left w:w="115.0" w:type="dxa"/>
              <w:bottom w:w="0.0" w:type="dxa"/>
              <w:right w:w="115.0" w:type="dxa"/>
            </w:tcMar>
          </w:tcPr>
          <w:p w:rsidR="00000000" w:rsidDel="00000000" w:rsidP="00000000" w:rsidRDefault="00000000" w:rsidRPr="00000000" w14:paraId="00000035">
            <w:pPr>
              <w:spacing w:after="0" w:before="119" w:line="240" w:lineRule="auto"/>
              <w:ind w:left="80" w:right="155" w:firstLine="0"/>
              <w:rPr>
                <w:sz w:val="26"/>
                <w:szCs w:val="26"/>
              </w:rPr>
            </w:pPr>
            <w:r w:rsidDel="00000000" w:rsidR="00000000" w:rsidRPr="00000000">
              <w:rPr>
                <w:color w:val="000000"/>
                <w:sz w:val="18"/>
                <w:szCs w:val="18"/>
                <w:rtl w:val="0"/>
              </w:rPr>
              <w:t xml:space="preserve"> $   138,841,108.00 </w:t>
            </w:r>
            <w:r w:rsidDel="00000000" w:rsidR="00000000" w:rsidRPr="00000000">
              <w:rPr>
                <w:rtl w:val="0"/>
              </w:rPr>
            </w:r>
          </w:p>
        </w:tc>
      </w:tr>
      <w:tr>
        <w:trPr>
          <w:cantSplit w:val="0"/>
          <w:trHeight w:val="283" w:hRule="atLeast"/>
          <w:tblHeader w:val="0"/>
        </w:trPr>
        <w:tc>
          <w:tcPr>
            <w:tcBorders>
              <w:top w:color="ffffff" w:space="0" w:sz="4" w:val="single"/>
              <w:left w:color="ffffff" w:space="0" w:sz="4" w:val="single"/>
              <w:bottom w:color="ffffff" w:space="0" w:sz="4" w:val="single"/>
              <w:right w:color="ffffff" w:space="0" w:sz="4" w:val="single"/>
            </w:tcBorders>
            <w:shd w:fill="e7e6e6" w:val="clear"/>
            <w:tcMar>
              <w:top w:w="0.0" w:type="dxa"/>
              <w:left w:w="115.0" w:type="dxa"/>
              <w:bottom w:w="0.0" w:type="dxa"/>
              <w:right w:w="115.0" w:type="dxa"/>
            </w:tcMar>
          </w:tcPr>
          <w:p w:rsidR="00000000" w:rsidDel="00000000" w:rsidP="00000000" w:rsidRDefault="00000000" w:rsidRPr="00000000" w14:paraId="00000036">
            <w:pPr>
              <w:spacing w:after="0" w:before="119" w:line="240" w:lineRule="auto"/>
              <w:ind w:left="80" w:right="155" w:firstLine="0"/>
              <w:rPr>
                <w:sz w:val="26"/>
                <w:szCs w:val="26"/>
              </w:rPr>
            </w:pPr>
            <w:r w:rsidDel="00000000" w:rsidR="00000000" w:rsidRPr="00000000">
              <w:rPr>
                <w:color w:val="000000"/>
                <w:sz w:val="18"/>
                <w:szCs w:val="18"/>
                <w:rtl w:val="0"/>
              </w:rPr>
              <w:t xml:space="preserve">Geophysical</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e7e6e6" w:val="clear"/>
            <w:tcMar>
              <w:top w:w="0.0" w:type="dxa"/>
              <w:left w:w="115.0" w:type="dxa"/>
              <w:bottom w:w="0.0" w:type="dxa"/>
              <w:right w:w="115.0" w:type="dxa"/>
            </w:tcMar>
          </w:tcPr>
          <w:p w:rsidR="00000000" w:rsidDel="00000000" w:rsidP="00000000" w:rsidRDefault="00000000" w:rsidRPr="00000000" w14:paraId="00000037">
            <w:pPr>
              <w:spacing w:after="0" w:before="119" w:line="240" w:lineRule="auto"/>
              <w:ind w:left="80" w:right="155" w:firstLine="0"/>
              <w:rPr>
                <w:sz w:val="26"/>
                <w:szCs w:val="26"/>
              </w:rPr>
            </w:pPr>
            <w:r w:rsidDel="00000000" w:rsidR="00000000" w:rsidRPr="00000000">
              <w:rPr>
                <w:color w:val="000000"/>
                <w:sz w:val="18"/>
                <w:szCs w:val="18"/>
                <w:rtl w:val="0"/>
              </w:rPr>
              <w:t xml:space="preserve">135</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e7e6e6" w:val="clear"/>
            <w:tcMar>
              <w:top w:w="0.0" w:type="dxa"/>
              <w:left w:w="115.0" w:type="dxa"/>
              <w:bottom w:w="0.0" w:type="dxa"/>
              <w:right w:w="115.0" w:type="dxa"/>
            </w:tcMar>
          </w:tcPr>
          <w:p w:rsidR="00000000" w:rsidDel="00000000" w:rsidP="00000000" w:rsidRDefault="00000000" w:rsidRPr="00000000" w14:paraId="00000038">
            <w:pPr>
              <w:spacing w:after="0" w:before="119" w:line="240" w:lineRule="auto"/>
              <w:ind w:left="80" w:right="155" w:firstLine="0"/>
              <w:rPr>
                <w:sz w:val="26"/>
                <w:szCs w:val="26"/>
              </w:rPr>
            </w:pPr>
            <w:r w:rsidDel="00000000" w:rsidR="00000000" w:rsidRPr="00000000">
              <w:rPr>
                <w:color w:val="000000"/>
                <w:sz w:val="18"/>
                <w:szCs w:val="18"/>
                <w:rtl w:val="0"/>
              </w:rPr>
              <w:t xml:space="preserve">227,055</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e7e6e6" w:val="clear"/>
            <w:tcMar>
              <w:top w:w="0.0" w:type="dxa"/>
              <w:left w:w="115.0" w:type="dxa"/>
              <w:bottom w:w="0.0" w:type="dxa"/>
              <w:right w:w="115.0" w:type="dxa"/>
            </w:tcMar>
          </w:tcPr>
          <w:p w:rsidR="00000000" w:rsidDel="00000000" w:rsidP="00000000" w:rsidRDefault="00000000" w:rsidRPr="00000000" w14:paraId="00000039">
            <w:pPr>
              <w:spacing w:after="0" w:before="119" w:line="240" w:lineRule="auto"/>
              <w:ind w:left="80" w:right="155" w:firstLine="0"/>
              <w:rPr>
                <w:sz w:val="26"/>
                <w:szCs w:val="26"/>
              </w:rPr>
            </w:pPr>
            <w:r w:rsidDel="00000000" w:rsidR="00000000" w:rsidRPr="00000000">
              <w:rPr>
                <w:color w:val="000000"/>
                <w:sz w:val="18"/>
                <w:szCs w:val="18"/>
                <w:rtl w:val="0"/>
              </w:rPr>
              <w:t xml:space="preserve">17,799,683</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e7e6e6" w:val="clear"/>
            <w:tcMar>
              <w:top w:w="0.0" w:type="dxa"/>
              <w:left w:w="115.0" w:type="dxa"/>
              <w:bottom w:w="0.0" w:type="dxa"/>
              <w:right w:w="115.0" w:type="dxa"/>
            </w:tcMar>
          </w:tcPr>
          <w:p w:rsidR="00000000" w:rsidDel="00000000" w:rsidP="00000000" w:rsidRDefault="00000000" w:rsidRPr="00000000" w14:paraId="0000003A">
            <w:pPr>
              <w:spacing w:after="0" w:before="119" w:line="240" w:lineRule="auto"/>
              <w:ind w:left="80" w:right="155" w:firstLine="0"/>
              <w:rPr>
                <w:sz w:val="26"/>
                <w:szCs w:val="26"/>
              </w:rPr>
            </w:pPr>
            <w:r w:rsidDel="00000000" w:rsidR="00000000" w:rsidRPr="00000000">
              <w:rPr>
                <w:color w:val="000000"/>
                <w:sz w:val="18"/>
                <w:szCs w:val="18"/>
                <w:rtl w:val="0"/>
              </w:rPr>
              <w:t xml:space="preserve"> $     60,361,375.00 </w:t>
            </w:r>
            <w:r w:rsidDel="00000000" w:rsidR="00000000" w:rsidRPr="00000000">
              <w:rPr>
                <w:rtl w:val="0"/>
              </w:rPr>
            </w:r>
          </w:p>
        </w:tc>
      </w:tr>
      <w:tr>
        <w:trPr>
          <w:cantSplit w:val="0"/>
          <w:trHeight w:val="283" w:hRule="atLeast"/>
          <w:tblHeader w:val="0"/>
        </w:trPr>
        <w:tc>
          <w:tcPr>
            <w:tcBorders>
              <w:top w:color="ffffff" w:space="0" w:sz="4" w:val="single"/>
              <w:left w:color="ffffff" w:space="0" w:sz="4" w:val="single"/>
              <w:bottom w:color="ffffff" w:space="0" w:sz="4" w:val="single"/>
              <w:right w:color="ffffff" w:space="0" w:sz="4" w:val="single"/>
            </w:tcBorders>
            <w:shd w:fill="e7e6e6" w:val="clear"/>
            <w:tcMar>
              <w:top w:w="0.0" w:type="dxa"/>
              <w:left w:w="115.0" w:type="dxa"/>
              <w:bottom w:w="0.0" w:type="dxa"/>
              <w:right w:w="115.0" w:type="dxa"/>
            </w:tcMar>
          </w:tcPr>
          <w:p w:rsidR="00000000" w:rsidDel="00000000" w:rsidP="00000000" w:rsidRDefault="00000000" w:rsidRPr="00000000" w14:paraId="0000003B">
            <w:pPr>
              <w:spacing w:after="0" w:before="119" w:line="240" w:lineRule="auto"/>
              <w:ind w:left="80" w:right="155" w:firstLine="0"/>
              <w:rPr>
                <w:sz w:val="26"/>
                <w:szCs w:val="26"/>
              </w:rPr>
            </w:pPr>
            <w:r w:rsidDel="00000000" w:rsidR="00000000" w:rsidRPr="00000000">
              <w:rPr>
                <w:color w:val="000000"/>
                <w:sz w:val="18"/>
                <w:szCs w:val="18"/>
                <w:rtl w:val="0"/>
              </w:rPr>
              <w:t xml:space="preserve">Hydrological</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e7e6e6" w:val="clear"/>
            <w:tcMar>
              <w:top w:w="0.0" w:type="dxa"/>
              <w:left w:w="115.0" w:type="dxa"/>
              <w:bottom w:w="0.0" w:type="dxa"/>
              <w:right w:w="115.0" w:type="dxa"/>
            </w:tcMar>
          </w:tcPr>
          <w:p w:rsidR="00000000" w:rsidDel="00000000" w:rsidP="00000000" w:rsidRDefault="00000000" w:rsidRPr="00000000" w14:paraId="0000003C">
            <w:pPr>
              <w:spacing w:after="0" w:before="119" w:line="240" w:lineRule="auto"/>
              <w:ind w:left="80" w:right="155" w:firstLine="0"/>
              <w:rPr>
                <w:sz w:val="26"/>
                <w:szCs w:val="26"/>
              </w:rPr>
            </w:pPr>
            <w:r w:rsidDel="00000000" w:rsidR="00000000" w:rsidRPr="00000000">
              <w:rPr>
                <w:color w:val="000000"/>
                <w:sz w:val="18"/>
                <w:szCs w:val="18"/>
                <w:rtl w:val="0"/>
              </w:rPr>
              <w:t xml:space="preserve">820</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e7e6e6" w:val="clear"/>
            <w:tcMar>
              <w:top w:w="0.0" w:type="dxa"/>
              <w:left w:w="115.0" w:type="dxa"/>
              <w:bottom w:w="0.0" w:type="dxa"/>
              <w:right w:w="115.0" w:type="dxa"/>
            </w:tcMar>
          </w:tcPr>
          <w:p w:rsidR="00000000" w:rsidDel="00000000" w:rsidP="00000000" w:rsidRDefault="00000000" w:rsidRPr="00000000" w14:paraId="0000003D">
            <w:pPr>
              <w:spacing w:after="0" w:before="119" w:line="240" w:lineRule="auto"/>
              <w:ind w:left="80" w:right="155" w:firstLine="0"/>
              <w:rPr>
                <w:sz w:val="26"/>
                <w:szCs w:val="26"/>
              </w:rPr>
            </w:pPr>
            <w:r w:rsidDel="00000000" w:rsidR="00000000" w:rsidRPr="00000000">
              <w:rPr>
                <w:color w:val="000000"/>
                <w:sz w:val="18"/>
                <w:szCs w:val="18"/>
                <w:rtl w:val="0"/>
              </w:rPr>
              <w:t xml:space="preserve">16,119</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e7e6e6" w:val="clear"/>
            <w:tcMar>
              <w:top w:w="0.0" w:type="dxa"/>
              <w:left w:w="115.0" w:type="dxa"/>
              <w:bottom w:w="0.0" w:type="dxa"/>
              <w:right w:w="115.0" w:type="dxa"/>
            </w:tcMar>
          </w:tcPr>
          <w:p w:rsidR="00000000" w:rsidDel="00000000" w:rsidP="00000000" w:rsidRDefault="00000000" w:rsidRPr="00000000" w14:paraId="0000003E">
            <w:pPr>
              <w:spacing w:after="0" w:before="119" w:line="240" w:lineRule="auto"/>
              <w:ind w:left="80" w:right="155" w:firstLine="0"/>
              <w:rPr>
                <w:sz w:val="26"/>
                <w:szCs w:val="26"/>
              </w:rPr>
            </w:pPr>
            <w:r w:rsidDel="00000000" w:rsidR="00000000" w:rsidRPr="00000000">
              <w:rPr>
                <w:color w:val="000000"/>
                <w:sz w:val="18"/>
                <w:szCs w:val="18"/>
                <w:rtl w:val="0"/>
              </w:rPr>
              <w:t xml:space="preserve">54,510,088</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e7e6e6" w:val="clear"/>
            <w:tcMar>
              <w:top w:w="0.0" w:type="dxa"/>
              <w:left w:w="115.0" w:type="dxa"/>
              <w:bottom w:w="0.0" w:type="dxa"/>
              <w:right w:w="115.0" w:type="dxa"/>
            </w:tcMar>
          </w:tcPr>
          <w:p w:rsidR="00000000" w:rsidDel="00000000" w:rsidP="00000000" w:rsidRDefault="00000000" w:rsidRPr="00000000" w14:paraId="0000003F">
            <w:pPr>
              <w:spacing w:after="0" w:before="119" w:line="240" w:lineRule="auto"/>
              <w:ind w:left="80" w:right="155" w:firstLine="0"/>
              <w:rPr>
                <w:sz w:val="26"/>
                <w:szCs w:val="26"/>
              </w:rPr>
            </w:pPr>
            <w:r w:rsidDel="00000000" w:rsidR="00000000" w:rsidRPr="00000000">
              <w:rPr>
                <w:color w:val="000000"/>
                <w:sz w:val="18"/>
                <w:szCs w:val="18"/>
                <w:rtl w:val="0"/>
              </w:rPr>
              <w:t xml:space="preserve"> $   100,686,015.00 </w:t>
            </w:r>
            <w:r w:rsidDel="00000000" w:rsidR="00000000" w:rsidRPr="00000000">
              <w:rPr>
                <w:rtl w:val="0"/>
              </w:rPr>
            </w:r>
          </w:p>
        </w:tc>
      </w:tr>
      <w:tr>
        <w:trPr>
          <w:cantSplit w:val="0"/>
          <w:trHeight w:val="283" w:hRule="atLeast"/>
          <w:tblHeader w:val="0"/>
        </w:trPr>
        <w:tc>
          <w:tcPr>
            <w:tcBorders>
              <w:top w:color="ffffff" w:space="0" w:sz="4" w:val="single"/>
              <w:left w:color="ffffff" w:space="0" w:sz="4" w:val="single"/>
              <w:bottom w:color="ffffff" w:space="0" w:sz="4" w:val="single"/>
              <w:right w:color="ffffff" w:space="0" w:sz="4" w:val="single"/>
            </w:tcBorders>
            <w:shd w:fill="e7e6e6" w:val="clear"/>
            <w:tcMar>
              <w:top w:w="0.0" w:type="dxa"/>
              <w:left w:w="115.0" w:type="dxa"/>
              <w:bottom w:w="0.0" w:type="dxa"/>
              <w:right w:w="115.0" w:type="dxa"/>
            </w:tcMar>
          </w:tcPr>
          <w:p w:rsidR="00000000" w:rsidDel="00000000" w:rsidP="00000000" w:rsidRDefault="00000000" w:rsidRPr="00000000" w14:paraId="00000040">
            <w:pPr>
              <w:spacing w:after="0" w:before="119" w:line="240" w:lineRule="auto"/>
              <w:ind w:left="80" w:right="155" w:firstLine="0"/>
              <w:rPr>
                <w:sz w:val="26"/>
                <w:szCs w:val="26"/>
              </w:rPr>
            </w:pPr>
            <w:r w:rsidDel="00000000" w:rsidR="00000000" w:rsidRPr="00000000">
              <w:rPr>
                <w:color w:val="000000"/>
                <w:sz w:val="18"/>
                <w:szCs w:val="18"/>
                <w:rtl w:val="0"/>
              </w:rPr>
              <w:t xml:space="preserve">Meteorological</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e7e6e6" w:val="clear"/>
            <w:tcMar>
              <w:top w:w="0.0" w:type="dxa"/>
              <w:left w:w="115.0" w:type="dxa"/>
              <w:bottom w:w="0.0" w:type="dxa"/>
              <w:right w:w="115.0" w:type="dxa"/>
            </w:tcMar>
          </w:tcPr>
          <w:p w:rsidR="00000000" w:rsidDel="00000000" w:rsidP="00000000" w:rsidRDefault="00000000" w:rsidRPr="00000000" w14:paraId="00000041">
            <w:pPr>
              <w:spacing w:after="0" w:before="119" w:line="240" w:lineRule="auto"/>
              <w:ind w:left="80" w:right="155" w:firstLine="0"/>
              <w:rPr>
                <w:sz w:val="26"/>
                <w:szCs w:val="26"/>
              </w:rPr>
            </w:pPr>
            <w:r w:rsidDel="00000000" w:rsidR="00000000" w:rsidRPr="00000000">
              <w:rPr>
                <w:color w:val="000000"/>
                <w:sz w:val="18"/>
                <w:szCs w:val="18"/>
                <w:rtl w:val="0"/>
              </w:rPr>
              <w:t xml:space="preserve">772</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e7e6e6" w:val="clear"/>
            <w:tcMar>
              <w:top w:w="0.0" w:type="dxa"/>
              <w:left w:w="115.0" w:type="dxa"/>
              <w:bottom w:w="0.0" w:type="dxa"/>
              <w:right w:w="115.0" w:type="dxa"/>
            </w:tcMar>
          </w:tcPr>
          <w:p w:rsidR="00000000" w:rsidDel="00000000" w:rsidP="00000000" w:rsidRDefault="00000000" w:rsidRPr="00000000" w14:paraId="00000042">
            <w:pPr>
              <w:spacing w:after="0" w:before="119" w:line="240" w:lineRule="auto"/>
              <w:ind w:left="80" w:right="155" w:firstLine="0"/>
              <w:rPr>
                <w:sz w:val="26"/>
                <w:szCs w:val="26"/>
              </w:rPr>
            </w:pPr>
            <w:r w:rsidDel="00000000" w:rsidR="00000000" w:rsidRPr="00000000">
              <w:rPr>
                <w:color w:val="000000"/>
                <w:sz w:val="18"/>
                <w:szCs w:val="18"/>
                <w:rtl w:val="0"/>
              </w:rPr>
              <w:t xml:space="preserve">19,136</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e7e6e6" w:val="clear"/>
            <w:tcMar>
              <w:top w:w="0.0" w:type="dxa"/>
              <w:left w:w="115.0" w:type="dxa"/>
              <w:bottom w:w="0.0" w:type="dxa"/>
              <w:right w:w="115.0" w:type="dxa"/>
            </w:tcMar>
          </w:tcPr>
          <w:p w:rsidR="00000000" w:rsidDel="00000000" w:rsidP="00000000" w:rsidRDefault="00000000" w:rsidRPr="00000000" w14:paraId="00000043">
            <w:pPr>
              <w:spacing w:after="0" w:before="119" w:line="240" w:lineRule="auto"/>
              <w:ind w:left="80" w:right="155" w:firstLine="0"/>
              <w:rPr>
                <w:sz w:val="26"/>
                <w:szCs w:val="26"/>
              </w:rPr>
            </w:pPr>
            <w:r w:rsidDel="00000000" w:rsidR="00000000" w:rsidRPr="00000000">
              <w:rPr>
                <w:color w:val="000000"/>
                <w:sz w:val="18"/>
                <w:szCs w:val="18"/>
                <w:rtl w:val="0"/>
              </w:rPr>
              <w:t xml:space="preserve">146,542,288</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e7e6e6" w:val="clear"/>
            <w:tcMar>
              <w:top w:w="0.0" w:type="dxa"/>
              <w:left w:w="115.0" w:type="dxa"/>
              <w:bottom w:w="0.0" w:type="dxa"/>
              <w:right w:w="115.0" w:type="dxa"/>
            </w:tcMar>
          </w:tcPr>
          <w:p w:rsidR="00000000" w:rsidDel="00000000" w:rsidP="00000000" w:rsidRDefault="00000000" w:rsidRPr="00000000" w14:paraId="00000044">
            <w:pPr>
              <w:spacing w:after="0" w:before="119" w:line="240" w:lineRule="auto"/>
              <w:ind w:left="80" w:right="155" w:firstLine="0"/>
              <w:rPr>
                <w:sz w:val="26"/>
                <w:szCs w:val="26"/>
              </w:rPr>
            </w:pPr>
            <w:r w:rsidDel="00000000" w:rsidR="00000000" w:rsidRPr="00000000">
              <w:rPr>
                <w:color w:val="000000"/>
                <w:sz w:val="18"/>
                <w:szCs w:val="18"/>
                <w:rtl w:val="0"/>
              </w:rPr>
              <w:t xml:space="preserve"> $   972,350,898.00 </w:t>
            </w:r>
            <w:r w:rsidDel="00000000" w:rsidR="00000000" w:rsidRPr="00000000">
              <w:rPr>
                <w:rtl w:val="0"/>
              </w:rPr>
            </w:r>
          </w:p>
        </w:tc>
      </w:tr>
      <w:tr>
        <w:trPr>
          <w:cantSplit w:val="0"/>
          <w:trHeight w:val="283" w:hRule="atLeast"/>
          <w:tblHeader w:val="0"/>
        </w:trPr>
        <w:tc>
          <w:tcPr>
            <w:tcBorders>
              <w:top w:color="ffffff" w:space="0" w:sz="4" w:val="single"/>
              <w:left w:color="ffffff" w:space="0" w:sz="4" w:val="single"/>
              <w:bottom w:color="ffffff" w:space="0" w:sz="4" w:val="single"/>
              <w:right w:color="ffffff" w:space="0" w:sz="4" w:val="single"/>
            </w:tcBorders>
            <w:shd w:fill="e7e6e6" w:val="clear"/>
            <w:tcMar>
              <w:top w:w="0.0" w:type="dxa"/>
              <w:left w:w="115.0" w:type="dxa"/>
              <w:bottom w:w="0.0" w:type="dxa"/>
              <w:right w:w="115.0" w:type="dxa"/>
            </w:tcMar>
          </w:tcPr>
          <w:p w:rsidR="00000000" w:rsidDel="00000000" w:rsidP="00000000" w:rsidRDefault="00000000" w:rsidRPr="00000000" w14:paraId="00000045">
            <w:pPr>
              <w:spacing w:after="0" w:before="119" w:line="240" w:lineRule="auto"/>
              <w:ind w:left="80" w:right="155" w:firstLine="0"/>
              <w:rPr>
                <w:sz w:val="26"/>
                <w:szCs w:val="26"/>
              </w:rPr>
            </w:pPr>
            <w:r w:rsidDel="00000000" w:rsidR="00000000" w:rsidRPr="00000000">
              <w:rPr>
                <w:color w:val="000000"/>
                <w:sz w:val="18"/>
                <w:szCs w:val="18"/>
                <w:rtl w:val="0"/>
              </w:rPr>
              <w:t xml:space="preserve">Technological</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e7e6e6" w:val="clear"/>
            <w:tcMar>
              <w:top w:w="0.0" w:type="dxa"/>
              <w:left w:w="115.0" w:type="dxa"/>
              <w:bottom w:w="0.0" w:type="dxa"/>
              <w:right w:w="115.0" w:type="dxa"/>
            </w:tcMar>
          </w:tcPr>
          <w:p w:rsidR="00000000" w:rsidDel="00000000" w:rsidP="00000000" w:rsidRDefault="00000000" w:rsidRPr="00000000" w14:paraId="00000046">
            <w:pPr>
              <w:spacing w:after="0" w:before="119" w:line="240" w:lineRule="auto"/>
              <w:ind w:left="80" w:right="155" w:firstLine="0"/>
              <w:rPr>
                <w:sz w:val="26"/>
                <w:szCs w:val="26"/>
              </w:rPr>
            </w:pPr>
            <w:r w:rsidDel="00000000" w:rsidR="00000000" w:rsidRPr="00000000">
              <w:rPr>
                <w:color w:val="000000"/>
                <w:sz w:val="18"/>
                <w:szCs w:val="18"/>
                <w:rtl w:val="0"/>
              </w:rPr>
              <w:t xml:space="preserve">723</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e7e6e6" w:val="clear"/>
            <w:tcMar>
              <w:top w:w="0.0" w:type="dxa"/>
              <w:left w:w="115.0" w:type="dxa"/>
              <w:bottom w:w="0.0" w:type="dxa"/>
              <w:right w:w="115.0" w:type="dxa"/>
            </w:tcMar>
          </w:tcPr>
          <w:p w:rsidR="00000000" w:rsidDel="00000000" w:rsidP="00000000" w:rsidRDefault="00000000" w:rsidRPr="00000000" w14:paraId="00000047">
            <w:pPr>
              <w:spacing w:after="0" w:before="119" w:line="240" w:lineRule="auto"/>
              <w:ind w:left="80" w:right="155" w:firstLine="0"/>
              <w:rPr>
                <w:sz w:val="26"/>
                <w:szCs w:val="26"/>
              </w:rPr>
            </w:pPr>
            <w:r w:rsidDel="00000000" w:rsidR="00000000" w:rsidRPr="00000000">
              <w:rPr>
                <w:color w:val="000000"/>
                <w:sz w:val="18"/>
                <w:szCs w:val="18"/>
                <w:rtl w:val="0"/>
              </w:rPr>
              <w:t xml:space="preserve">17,668</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e7e6e6" w:val="clear"/>
            <w:tcMar>
              <w:top w:w="0.0" w:type="dxa"/>
              <w:left w:w="115.0" w:type="dxa"/>
              <w:bottom w:w="0.0" w:type="dxa"/>
              <w:right w:w="115.0" w:type="dxa"/>
            </w:tcMar>
          </w:tcPr>
          <w:p w:rsidR="00000000" w:rsidDel="00000000" w:rsidP="00000000" w:rsidRDefault="00000000" w:rsidRPr="00000000" w14:paraId="00000048">
            <w:pPr>
              <w:spacing w:after="0" w:before="119" w:line="240" w:lineRule="auto"/>
              <w:ind w:left="80" w:right="155" w:firstLine="0"/>
              <w:rPr>
                <w:sz w:val="26"/>
                <w:szCs w:val="26"/>
              </w:rPr>
            </w:pPr>
            <w:r w:rsidDel="00000000" w:rsidR="00000000" w:rsidRPr="00000000">
              <w:rPr>
                <w:color w:val="000000"/>
                <w:sz w:val="18"/>
                <w:szCs w:val="18"/>
                <w:rtl w:val="0"/>
              </w:rPr>
              <w:t xml:space="preserve">707,496</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e7e6e6" w:val="clear"/>
            <w:tcMar>
              <w:top w:w="0.0" w:type="dxa"/>
              <w:left w:w="115.0" w:type="dxa"/>
              <w:bottom w:w="0.0" w:type="dxa"/>
              <w:right w:w="115.0" w:type="dxa"/>
            </w:tcMar>
          </w:tcPr>
          <w:p w:rsidR="00000000" w:rsidDel="00000000" w:rsidP="00000000" w:rsidRDefault="00000000" w:rsidRPr="00000000" w14:paraId="00000049">
            <w:pPr>
              <w:spacing w:after="0" w:before="119" w:line="240" w:lineRule="auto"/>
              <w:ind w:left="80" w:right="155" w:firstLine="0"/>
              <w:rPr>
                <w:sz w:val="26"/>
                <w:szCs w:val="26"/>
              </w:rPr>
            </w:pPr>
            <w:r w:rsidDel="00000000" w:rsidR="00000000" w:rsidRPr="00000000">
              <w:rPr>
                <w:color w:val="000000"/>
                <w:sz w:val="18"/>
                <w:szCs w:val="18"/>
                <w:rtl w:val="0"/>
              </w:rPr>
              <w:t xml:space="preserve"> $     21,084,400.00 </w:t>
            </w:r>
            <w:r w:rsidDel="00000000" w:rsidR="00000000" w:rsidRPr="00000000">
              <w:rPr>
                <w:rtl w:val="0"/>
              </w:rPr>
            </w:r>
          </w:p>
        </w:tc>
      </w:tr>
      <w:tr>
        <w:trPr>
          <w:cantSplit w:val="0"/>
          <w:trHeight w:val="283" w:hRule="atLeast"/>
          <w:tblHeader w:val="0"/>
        </w:trPr>
        <w:tc>
          <w:tcPr>
            <w:tcBorders>
              <w:top w:color="ffffff" w:space="0" w:sz="4" w:val="single"/>
              <w:left w:color="ffffff" w:space="0" w:sz="4" w:val="single"/>
              <w:bottom w:color="ffffff" w:space="0" w:sz="4" w:val="single"/>
              <w:right w:color="ffffff" w:space="0" w:sz="4" w:val="single"/>
            </w:tcBorders>
            <w:shd w:fill="e7e6e6" w:val="clear"/>
            <w:tcMar>
              <w:top w:w="0.0" w:type="dxa"/>
              <w:left w:w="115.0" w:type="dxa"/>
              <w:bottom w:w="0.0" w:type="dxa"/>
              <w:right w:w="115.0" w:type="dxa"/>
            </w:tcMar>
          </w:tcPr>
          <w:p w:rsidR="00000000" w:rsidDel="00000000" w:rsidP="00000000" w:rsidRDefault="00000000" w:rsidRPr="00000000" w14:paraId="0000004A">
            <w:pPr>
              <w:spacing w:after="0" w:before="119" w:line="240" w:lineRule="auto"/>
              <w:ind w:left="80" w:right="155" w:firstLine="0"/>
              <w:rPr>
                <w:sz w:val="26"/>
                <w:szCs w:val="26"/>
              </w:rPr>
            </w:pPr>
            <w:r w:rsidDel="00000000" w:rsidR="00000000" w:rsidRPr="00000000">
              <w:rPr>
                <w:color w:val="000000"/>
                <w:sz w:val="18"/>
                <w:szCs w:val="18"/>
                <w:rtl w:val="0"/>
              </w:rPr>
              <w:t xml:space="preserve">Grand Total </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e7e6e6" w:val="clear"/>
            <w:tcMar>
              <w:top w:w="0.0" w:type="dxa"/>
              <w:left w:w="115.0" w:type="dxa"/>
              <w:bottom w:w="0.0" w:type="dxa"/>
              <w:right w:w="115.0" w:type="dxa"/>
            </w:tcMar>
          </w:tcPr>
          <w:p w:rsidR="00000000" w:rsidDel="00000000" w:rsidP="00000000" w:rsidRDefault="00000000" w:rsidRPr="00000000" w14:paraId="0000004B">
            <w:pPr>
              <w:spacing w:after="0" w:before="119" w:line="240" w:lineRule="auto"/>
              <w:ind w:left="80" w:right="155" w:firstLine="0"/>
              <w:rPr>
                <w:sz w:val="26"/>
                <w:szCs w:val="26"/>
              </w:rPr>
            </w:pPr>
            <w:r w:rsidDel="00000000" w:rsidR="00000000" w:rsidRPr="00000000">
              <w:rPr>
                <w:color w:val="000000"/>
                <w:sz w:val="18"/>
                <w:szCs w:val="18"/>
                <w:rtl w:val="0"/>
              </w:rPr>
              <w:t xml:space="preserve">2,725</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e7e6e6" w:val="clear"/>
            <w:tcMar>
              <w:top w:w="0.0" w:type="dxa"/>
              <w:left w:w="115.0" w:type="dxa"/>
              <w:bottom w:w="0.0" w:type="dxa"/>
              <w:right w:w="115.0" w:type="dxa"/>
            </w:tcMar>
          </w:tcPr>
          <w:p w:rsidR="00000000" w:rsidDel="00000000" w:rsidP="00000000" w:rsidRDefault="00000000" w:rsidRPr="00000000" w14:paraId="0000004C">
            <w:pPr>
              <w:spacing w:after="0" w:before="119" w:line="240" w:lineRule="auto"/>
              <w:ind w:left="80" w:right="155" w:firstLine="0"/>
              <w:rPr>
                <w:sz w:val="26"/>
                <w:szCs w:val="26"/>
              </w:rPr>
            </w:pPr>
            <w:r w:rsidDel="00000000" w:rsidR="00000000" w:rsidRPr="00000000">
              <w:rPr>
                <w:color w:val="000000"/>
                <w:sz w:val="18"/>
                <w:szCs w:val="18"/>
                <w:rtl w:val="0"/>
              </w:rPr>
              <w:t xml:space="preserve">290,080</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e7e6e6" w:val="clear"/>
            <w:tcMar>
              <w:top w:w="0.0" w:type="dxa"/>
              <w:left w:w="115.0" w:type="dxa"/>
              <w:bottom w:w="0.0" w:type="dxa"/>
              <w:right w:w="115.0" w:type="dxa"/>
            </w:tcMar>
          </w:tcPr>
          <w:p w:rsidR="00000000" w:rsidDel="00000000" w:rsidP="00000000" w:rsidRDefault="00000000" w:rsidRPr="00000000" w14:paraId="0000004D">
            <w:pPr>
              <w:spacing w:after="0" w:before="119" w:line="240" w:lineRule="auto"/>
              <w:ind w:left="80" w:right="155" w:firstLine="0"/>
              <w:rPr>
                <w:sz w:val="26"/>
                <w:szCs w:val="26"/>
              </w:rPr>
            </w:pPr>
            <w:r w:rsidDel="00000000" w:rsidR="00000000" w:rsidRPr="00000000">
              <w:rPr>
                <w:color w:val="000000"/>
                <w:sz w:val="18"/>
                <w:szCs w:val="18"/>
                <w:rtl w:val="0"/>
              </w:rPr>
              <w:t xml:space="preserve">277,396,485</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e7e6e6" w:val="clear"/>
            <w:tcMar>
              <w:top w:w="0.0" w:type="dxa"/>
              <w:left w:w="115.0" w:type="dxa"/>
              <w:bottom w:w="0.0" w:type="dxa"/>
              <w:right w:w="115.0" w:type="dxa"/>
            </w:tcMar>
          </w:tcPr>
          <w:p w:rsidR="00000000" w:rsidDel="00000000" w:rsidP="00000000" w:rsidRDefault="00000000" w:rsidRPr="00000000" w14:paraId="0000004E">
            <w:pPr>
              <w:spacing w:after="0" w:before="119" w:line="240" w:lineRule="auto"/>
              <w:ind w:left="80" w:right="155" w:firstLine="0"/>
              <w:rPr>
                <w:sz w:val="26"/>
                <w:szCs w:val="26"/>
              </w:rPr>
            </w:pPr>
            <w:r w:rsidDel="00000000" w:rsidR="00000000" w:rsidRPr="00000000">
              <w:rPr>
                <w:color w:val="000000"/>
                <w:sz w:val="18"/>
                <w:szCs w:val="18"/>
                <w:rtl w:val="0"/>
              </w:rPr>
              <w:t xml:space="preserve"> $1,293,323,796.00 </w:t>
            </w:r>
            <w:r w:rsidDel="00000000" w:rsidR="00000000" w:rsidRPr="00000000">
              <w:rPr>
                <w:rtl w:val="0"/>
              </w:rPr>
            </w:r>
          </w:p>
        </w:tc>
      </w:tr>
    </w:tbl>
    <w:p w:rsidR="00000000" w:rsidDel="00000000" w:rsidP="00000000" w:rsidRDefault="00000000" w:rsidRPr="00000000" w14:paraId="0000004F">
      <w:pPr>
        <w:tabs>
          <w:tab w:val="left" w:pos="2542"/>
        </w:tabs>
        <w:spacing w:after="120" w:lineRule="auto"/>
        <w:jc w:val="both"/>
        <w:rPr/>
      </w:pPr>
      <w:r w:rsidDel="00000000" w:rsidR="00000000" w:rsidRPr="00000000">
        <w:rPr>
          <w:rtl w:val="0"/>
        </w:rPr>
      </w:r>
    </w:p>
    <w:p w:rsidR="00000000" w:rsidDel="00000000" w:rsidP="00000000" w:rsidRDefault="00000000" w:rsidRPr="00000000" w14:paraId="00000050">
      <w:pPr>
        <w:jc w:val="both"/>
        <w:rPr/>
      </w:pPr>
      <w:r w:rsidDel="00000000" w:rsidR="00000000" w:rsidRPr="00000000">
        <w:rPr>
          <w:rtl w:val="0"/>
        </w:rPr>
        <w:t xml:space="preserve">As cases spread worldwide, WHO classified COVID-19 as a pandemic on March 11, 2020. As of July 26, 2021, 94,080,019 cases of COVID-19 have been confirmed worldwide, including 4,162,304 deaths. The first imported case of COVID-19 in the Americas region was identified on January 21, 2020 in the United States. A few days later, on January 25, 2020, Canada also reported its first confirmed case. Since then, there have been 76,090,220 confirmed cases of COVID-19 in the region of the Americas and 1,992,005 deaths as of July 2021. </w:t>
      </w:r>
    </w:p>
    <w:p w:rsidR="00000000" w:rsidDel="00000000" w:rsidP="00000000" w:rsidRDefault="00000000" w:rsidRPr="00000000" w14:paraId="00000051">
      <w:pPr>
        <w:jc w:val="both"/>
        <w:rPr/>
      </w:pPr>
      <w:r w:rsidDel="00000000" w:rsidR="00000000" w:rsidRPr="00000000">
        <w:rPr>
          <w:rtl w:val="0"/>
        </w:rPr>
        <w:t xml:space="preserve">Considering this context, it is necessary to address current challenges and prepare for future ones by: (i) focusing efforts on actions aimed at strengthening Governance; (ii) highlighting the importance of intersectoral and international coordination on disaster risk in a multi sectoral context; and (ii) promoting the full and meaningful participation of all relevant actors at the appropriate levels. </w:t>
      </w:r>
    </w:p>
    <w:p w:rsidR="00000000" w:rsidDel="00000000" w:rsidP="00000000" w:rsidRDefault="00000000" w:rsidRPr="00000000" w14:paraId="00000052">
      <w:pPr>
        <w:tabs>
          <w:tab w:val="left" w:pos="2542"/>
        </w:tabs>
        <w:spacing w:after="120" w:lineRule="auto"/>
        <w:jc w:val="both"/>
        <w:rPr/>
      </w:pPr>
      <w:r w:rsidDel="00000000" w:rsidR="00000000" w:rsidRPr="00000000">
        <w:rPr>
          <w:rtl w:val="0"/>
        </w:rPr>
        <w:t xml:space="preserve"> </w:t>
      </w:r>
    </w:p>
    <w:p w:rsidR="00000000" w:rsidDel="00000000" w:rsidP="00000000" w:rsidRDefault="00000000" w:rsidRPr="00000000" w14:paraId="00000053">
      <w:pPr>
        <w:pStyle w:val="Heading2"/>
        <w:rPr/>
      </w:pPr>
      <w:r w:rsidDel="00000000" w:rsidR="00000000" w:rsidRPr="00000000">
        <w:rPr>
          <w:rtl w:val="0"/>
        </w:rPr>
        <w:t xml:space="preserve">QUESTIONS THAT THE SESSION WILL SEEK TO ANSWER</w:t>
      </w:r>
    </w:p>
    <w:p w:rsidR="00000000" w:rsidDel="00000000" w:rsidP="00000000" w:rsidRDefault="00000000" w:rsidRPr="00000000" w14:paraId="0000005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bookmarkStart w:colFirst="0" w:colLast="0" w:name="_heading=h.30j0zll" w:id="1"/>
      <w:bookmarkEnd w:id="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can policies and institutional arrangements be improved to account for more complex scenarios where multiple hazards interact in more complicated environments?</w:t>
      </w:r>
    </w:p>
    <w:p w:rsidR="00000000" w:rsidDel="00000000" w:rsidP="00000000" w:rsidRDefault="00000000" w:rsidRPr="00000000" w14:paraId="0000005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could risk sensitive development planning integrate these more complex situations?</w:t>
      </w:r>
    </w:p>
    <w:p w:rsidR="00000000" w:rsidDel="00000000" w:rsidP="00000000" w:rsidRDefault="00000000" w:rsidRPr="00000000" w14:paraId="0000005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kind of incentives are needed to ensure solid collaboration across different levels of government and across sectors?</w:t>
      </w:r>
    </w:p>
    <w:p w:rsidR="00000000" w:rsidDel="00000000" w:rsidP="00000000" w:rsidRDefault="00000000" w:rsidRPr="00000000" w14:paraId="0000005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were the main successful interventions that favoured disaster risk governance in the region, during the pandemic caused by COVID-19?</w:t>
      </w:r>
    </w:p>
    <w:p w:rsidR="00000000" w:rsidDel="00000000" w:rsidP="00000000" w:rsidRDefault="00000000" w:rsidRPr="00000000" w14:paraId="0000005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did the previously-established coordination mechanisms improve the response and recovery capacity of countries to COVID-19?</w:t>
      </w:r>
    </w:p>
    <w:p w:rsidR="00000000" w:rsidDel="00000000" w:rsidP="00000000" w:rsidRDefault="00000000" w:rsidRPr="00000000" w14:paraId="0000005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did the importance of transparency and accountability (as key criteria of good Governance) become evident during the COVID-19 crisis? What was the role of CSO in recovering the governance systems after COVID?</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sectPr>
      <w:headerReference r:id="rId9" w:type="default"/>
      <w:headerReference r:id="rId10" w:type="first"/>
      <w:headerReference r:id="rId11" w:type="even"/>
      <w:footerReference r:id="rId12" w:type="default"/>
      <w:footerReference r:id="rId13" w:type="even"/>
      <w:pgSz w:h="15840" w:w="12240" w:orient="portrait"/>
      <w:pgMar w:bottom="1440" w:top="558" w:left="1440" w:right="1440" w:header="516"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5814060</wp:posOffset>
          </wp:positionH>
          <wp:positionV relativeFrom="paragraph">
            <wp:posOffset>-895980</wp:posOffset>
          </wp:positionV>
          <wp:extent cx="890202" cy="1386840"/>
          <wp:effectExtent b="0" l="0" r="0" t="0"/>
          <wp:wrapNone/>
          <wp:docPr id="311"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890202" cy="1386840"/>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-769615</wp:posOffset>
          </wp:positionH>
          <wp:positionV relativeFrom="paragraph">
            <wp:posOffset>-1185540</wp:posOffset>
          </wp:positionV>
          <wp:extent cx="982535" cy="1589866"/>
          <wp:effectExtent b="0" l="0" r="0" t="0"/>
          <wp:wrapNone/>
          <wp:docPr id="312"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982535" cy="1589866"/>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pacing w:after="0" w:before="20" w:line="240" w:lineRule="auto"/>
      <w:ind w:left="20" w:firstLine="0"/>
      <w:jc w:val="right"/>
      <w:rPr>
        <w:rFonts w:ascii="Verdana" w:cs="Verdana" w:eastAsia="Verdana" w:hAnsi="Verdana"/>
        <w:color w:val="a6a6a6"/>
      </w:rPr>
    </w:pPr>
    <w:r w:rsidDel="00000000" w:rsidR="00000000" w:rsidRPr="00000000">
      <w:rPr>
        <w:rtl w:val="0"/>
      </w:rPr>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pacing w:after="0" w:before="20" w:line="240" w:lineRule="auto"/>
      <w:ind w:left="20" w:firstLine="0"/>
      <w:jc w:val="right"/>
      <w:rPr>
        <w:rFonts w:ascii="Verdana" w:cs="Verdana" w:eastAsia="Verdana" w:hAnsi="Verdana"/>
        <w:color w:val="a6a6a6"/>
      </w:rPr>
    </w:pPr>
    <w:r w:rsidDel="00000000" w:rsidR="00000000" w:rsidRPr="00000000">
      <w:rPr>
        <w:rtl w:val="0"/>
      </w:rPr>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after="0" w:before="20" w:line="240" w:lineRule="auto"/>
      <w:ind w:left="20" w:firstLine="0"/>
      <w:jc w:val="center"/>
      <w:rPr>
        <w:rFonts w:ascii="Verdana" w:cs="Verdana" w:eastAsia="Verdana" w:hAnsi="Verdana"/>
        <w:color w:val="a6a6a6"/>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661988</wp:posOffset>
          </wp:positionH>
          <wp:positionV relativeFrom="paragraph">
            <wp:posOffset>-200021</wp:posOffset>
          </wp:positionV>
          <wp:extent cx="5262563" cy="1442145"/>
          <wp:effectExtent b="0" l="0" r="0" t="0"/>
          <wp:wrapNone/>
          <wp:docPr id="30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262563" cy="144214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style>
  <w:style w:type="paragraph" w:styleId="Titolo1">
    <w:name w:val="heading 1"/>
    <w:basedOn w:val="Normale"/>
    <w:next w:val="Normale"/>
    <w:uiPriority w:val="9"/>
    <w:qFormat w:val="1"/>
    <w:pPr>
      <w:keepNext w:val="1"/>
      <w:keepLines w:val="1"/>
      <w:spacing w:after="120" w:before="480"/>
      <w:outlineLvl w:val="0"/>
    </w:pPr>
    <w:rPr>
      <w:b w:val="1"/>
      <w:sz w:val="48"/>
      <w:szCs w:val="48"/>
    </w:rPr>
  </w:style>
  <w:style w:type="paragraph" w:styleId="Titolo2">
    <w:name w:val="heading 2"/>
    <w:basedOn w:val="Normale"/>
    <w:next w:val="Normale"/>
    <w:uiPriority w:val="9"/>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10" w:customStyle="1">
    <w:name w:val="Table Normal1"/>
    <w:tblPr>
      <w:tblCellMar>
        <w:top w:w="0.0" w:type="dxa"/>
        <w:left w:w="0.0" w:type="dxa"/>
        <w:bottom w:w="0.0" w:type="dxa"/>
        <w:right w:w="0.0" w:type="dxa"/>
      </w:tblCellMar>
    </w:tblPr>
  </w:style>
  <w:style w:type="paragraph" w:styleId="Intestazione">
    <w:name w:val="header"/>
    <w:basedOn w:val="Normale"/>
    <w:link w:val="IntestazioneCarattere"/>
    <w:uiPriority w:val="99"/>
    <w:unhideWhenUsed w:val="1"/>
    <w:rsid w:val="00F850A4"/>
    <w:pPr>
      <w:tabs>
        <w:tab w:val="center" w:pos="4680"/>
        <w:tab w:val="right" w:pos="9360"/>
      </w:tabs>
      <w:spacing w:after="0" w:line="240" w:lineRule="auto"/>
    </w:pPr>
  </w:style>
  <w:style w:type="character" w:styleId="IntestazioneCarattere" w:customStyle="1">
    <w:name w:val="Intestazione Carattere"/>
    <w:basedOn w:val="Carpredefinitoparagrafo"/>
    <w:link w:val="Intestazione"/>
    <w:uiPriority w:val="99"/>
    <w:rsid w:val="00F850A4"/>
  </w:style>
  <w:style w:type="paragraph" w:styleId="Pidipagina">
    <w:name w:val="footer"/>
    <w:basedOn w:val="Normale"/>
    <w:link w:val="PidipaginaCarattere"/>
    <w:uiPriority w:val="99"/>
    <w:unhideWhenUsed w:val="1"/>
    <w:rsid w:val="00F850A4"/>
    <w:pPr>
      <w:tabs>
        <w:tab w:val="center" w:pos="4680"/>
        <w:tab w:val="right" w:pos="9360"/>
      </w:tabs>
      <w:spacing w:after="0" w:line="240" w:lineRule="auto"/>
    </w:pPr>
  </w:style>
  <w:style w:type="character" w:styleId="PidipaginaCarattere" w:customStyle="1">
    <w:name w:val="Piè di pagina Carattere"/>
    <w:basedOn w:val="Carpredefinitoparagrafo"/>
    <w:link w:val="Pidipagina"/>
    <w:uiPriority w:val="99"/>
    <w:rsid w:val="00F850A4"/>
  </w:style>
  <w:style w:type="paragraph" w:styleId="Corpotesto">
    <w:name w:val="Body Text"/>
    <w:basedOn w:val="Normale"/>
    <w:link w:val="CorpotestoCarattere"/>
    <w:uiPriority w:val="1"/>
    <w:qFormat w:val="1"/>
    <w:rsid w:val="00F850A4"/>
    <w:pPr>
      <w:widowControl w:val="0"/>
      <w:autoSpaceDE w:val="0"/>
      <w:autoSpaceDN w:val="0"/>
      <w:spacing w:after="0" w:line="240" w:lineRule="auto"/>
    </w:pPr>
    <w:rPr>
      <w:rFonts w:ascii="Verdana" w:cs="Verdana" w:eastAsia="Verdana" w:hAnsi="Verdana"/>
      <w:lang w:val="es-ES"/>
    </w:rPr>
  </w:style>
  <w:style w:type="character" w:styleId="CorpotestoCarattere" w:customStyle="1">
    <w:name w:val="Corpo testo Carattere"/>
    <w:basedOn w:val="Carpredefinitoparagrafo"/>
    <w:link w:val="Corpotesto"/>
    <w:uiPriority w:val="1"/>
    <w:rsid w:val="00F850A4"/>
    <w:rPr>
      <w:rFonts w:ascii="Verdana" w:cs="Verdana" w:eastAsia="Verdana" w:hAnsi="Verdana"/>
      <w:lang w:val="es-ES"/>
    </w:rPr>
  </w:style>
  <w:style w:type="paragraph" w:styleId="TableParagraph" w:customStyle="1">
    <w:name w:val="Table Paragraph"/>
    <w:basedOn w:val="Normale"/>
    <w:uiPriority w:val="1"/>
    <w:qFormat w:val="1"/>
    <w:rsid w:val="0063264A"/>
    <w:pPr>
      <w:widowControl w:val="0"/>
      <w:autoSpaceDE w:val="0"/>
      <w:autoSpaceDN w:val="0"/>
      <w:spacing w:after="0" w:line="240" w:lineRule="auto"/>
      <w:ind w:left="80"/>
    </w:pPr>
    <w:rPr>
      <w:rFonts w:ascii="Verdana" w:cs="Verdana" w:eastAsia="Verdana" w:hAnsi="Verdana"/>
      <w:lang w:val="es-ES"/>
    </w:rPr>
  </w:style>
  <w:style w:type="character" w:styleId="Collegamentoipertestuale">
    <w:name w:val="Hyperlink"/>
    <w:basedOn w:val="Carpredefinitoparagrafo"/>
    <w:uiPriority w:val="99"/>
    <w:unhideWhenUsed w:val="1"/>
    <w:rsid w:val="00556AF5"/>
    <w:rPr>
      <w:color w:val="0563c1" w:themeColor="hyperlink"/>
      <w:u w:val="single"/>
    </w:rPr>
  </w:style>
  <w:style w:type="table" w:styleId="Grigliatabella">
    <w:name w:val="Table Grid"/>
    <w:basedOn w:val="Tabellanormale"/>
    <w:uiPriority w:val="39"/>
    <w:rsid w:val="00C81A9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essunaspaziatura">
    <w:name w:val="No Spacing"/>
    <w:uiPriority w:val="1"/>
    <w:qFormat w:val="1"/>
    <w:rsid w:val="00866EE1"/>
    <w:pPr>
      <w:spacing w:after="0" w:line="240" w:lineRule="auto"/>
    </w:pPr>
  </w:style>
  <w:style w:type="paragraph" w:styleId="Paragrafoelenco">
    <w:name w:val="List Paragraph"/>
    <w:basedOn w:val="Normale"/>
    <w:uiPriority w:val="34"/>
    <w:qFormat w:val="1"/>
    <w:rsid w:val="00B32904"/>
    <w:pPr>
      <w:ind w:left="720"/>
      <w:contextualSpacing w:val="1"/>
    </w:pPr>
  </w:style>
  <w:style w:type="table" w:styleId="Tabellagriglia5scura-colore1">
    <w:name w:val="Grid Table 5 Dark Accent 1"/>
    <w:basedOn w:val="Tabellanormale"/>
    <w:uiPriority w:val="50"/>
    <w:rsid w:val="003D68C5"/>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d9e2f3" w:themeFill="accen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4472c4" w:themeFill="accen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4472c4" w:themeFill="accen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4472c4" w:themeFill="accen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4472c4" w:themeFill="accent1" w:val="clear"/>
      </w:tcPr>
    </w:tblStylePr>
    <w:tblStylePr w:type="band1Vert">
      <w:tblPr/>
      <w:tcPr>
        <w:shd w:color="auto" w:fill="b4c6e7" w:themeFill="accent1" w:themeFillTint="000066" w:val="clear"/>
      </w:tcPr>
    </w:tblStylePr>
    <w:tblStylePr w:type="band1Horz">
      <w:tblPr/>
      <w:tcPr>
        <w:shd w:color="auto" w:fill="b4c6e7" w:themeFill="accent1" w:themeFillTint="000066" w:val="clear"/>
      </w:tcPr>
    </w:tblStylePr>
  </w:style>
  <w:style w:type="character" w:styleId="Rimandocommento">
    <w:name w:val="annotation reference"/>
    <w:basedOn w:val="Carpredefinitoparagrafo"/>
    <w:uiPriority w:val="99"/>
    <w:semiHidden w:val="1"/>
    <w:unhideWhenUsed w:val="1"/>
    <w:rsid w:val="00AC64A6"/>
    <w:rPr>
      <w:sz w:val="16"/>
      <w:szCs w:val="16"/>
    </w:rPr>
  </w:style>
  <w:style w:type="paragraph" w:styleId="Testocommento">
    <w:name w:val="annotation text"/>
    <w:basedOn w:val="Normale"/>
    <w:link w:val="TestocommentoCarattere"/>
    <w:uiPriority w:val="99"/>
    <w:semiHidden w:val="1"/>
    <w:unhideWhenUsed w:val="1"/>
    <w:rsid w:val="00AC64A6"/>
    <w:pPr>
      <w:spacing w:line="240" w:lineRule="auto"/>
    </w:pPr>
    <w:rPr>
      <w:sz w:val="20"/>
      <w:szCs w:val="20"/>
    </w:rPr>
  </w:style>
  <w:style w:type="character" w:styleId="TestocommentoCarattere" w:customStyle="1">
    <w:name w:val="Testo commento Carattere"/>
    <w:basedOn w:val="Carpredefinitoparagrafo"/>
    <w:link w:val="Testocommento"/>
    <w:uiPriority w:val="99"/>
    <w:semiHidden w:val="1"/>
    <w:rsid w:val="00AC64A6"/>
    <w:rPr>
      <w:sz w:val="20"/>
      <w:szCs w:val="20"/>
    </w:rPr>
  </w:style>
  <w:style w:type="paragraph" w:styleId="Soggettocommento">
    <w:name w:val="annotation subject"/>
    <w:basedOn w:val="Testocommento"/>
    <w:next w:val="Testocommento"/>
    <w:link w:val="SoggettocommentoCarattere"/>
    <w:uiPriority w:val="99"/>
    <w:semiHidden w:val="1"/>
    <w:unhideWhenUsed w:val="1"/>
    <w:rsid w:val="00AC64A6"/>
    <w:rPr>
      <w:b w:val="1"/>
      <w:bCs w:val="1"/>
    </w:rPr>
  </w:style>
  <w:style w:type="character" w:styleId="SoggettocommentoCarattere" w:customStyle="1">
    <w:name w:val="Soggetto commento Carattere"/>
    <w:basedOn w:val="TestocommentoCarattere"/>
    <w:link w:val="Soggettocommento"/>
    <w:uiPriority w:val="99"/>
    <w:semiHidden w:val="1"/>
    <w:rsid w:val="00AC64A6"/>
    <w:rPr>
      <w:b w:val="1"/>
      <w:bCs w:val="1"/>
      <w:sz w:val="20"/>
      <w:szCs w:val="20"/>
    </w:rPr>
  </w:style>
  <w:style w:type="paragraph" w:styleId="Revisione">
    <w:name w:val="Revision"/>
    <w:hidden w:val="1"/>
    <w:uiPriority w:val="99"/>
    <w:semiHidden w:val="1"/>
    <w:rsid w:val="00301CBD"/>
    <w:pPr>
      <w:spacing w:after="0" w:line="240" w:lineRule="auto"/>
    </w:p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ellanormale"/>
    <w:tblPr>
      <w:tblStyleRowBandSize w:val="1"/>
      <w:tblStyleColBandSize w:val="1"/>
      <w:tblCellMar>
        <w:left w:w="0.0" w:type="dxa"/>
        <w:right w:w="0.0" w:type="dxa"/>
      </w:tblCellMar>
    </w:tblPr>
  </w:style>
  <w:style w:type="table" w:styleId="a0" w:customStyle="1">
    <w:basedOn w:val="Tabellanormale"/>
    <w:tblPr>
      <w:tblStyleRowBandSize w:val="1"/>
      <w:tblStyleColBandSize w:val="1"/>
      <w:tblCellMar>
        <w:left w:w="0.0" w:type="dxa"/>
        <w:right w:w="0.0" w:type="dxa"/>
      </w:tblCellMar>
    </w:tblPr>
  </w:style>
  <w:style w:type="table" w:styleId="a1" w:customStyle="1">
    <w:basedOn w:val="Tabellanormale"/>
    <w:pPr>
      <w:spacing w:after="0" w:line="240" w:lineRule="auto"/>
    </w:pPr>
    <w:tblPr>
      <w:tblStyleRowBandSize w:val="1"/>
      <w:tblStyleColBandSize w:val="1"/>
      <w:tblCellMar>
        <w:left w:w="115.0" w:type="dxa"/>
        <w:right w:w="115.0" w:type="dxa"/>
      </w:tblCellMar>
    </w:tblPr>
    <w:tcPr>
      <w:shd w:color="auto" w:fill="d9e2f3" w:val="clear"/>
    </w:tcPr>
    <w:tblStylePr w:type="firstRow">
      <w:rPr>
        <w:b w:val="1"/>
        <w:color w:val="ffffff"/>
      </w:rPr>
      <w:tblPr/>
      <w:tcPr>
        <w:tcBorders>
          <w:top w:color="ffffff" w:space="0" w:sz="4" w:val="single"/>
          <w:left w:color="ffffff" w:space="0" w:sz="4" w:val="single"/>
          <w:right w:color="ffffff" w:space="0" w:sz="4" w:val="single"/>
          <w:insideH w:space="0" w:sz="0" w:val="nil"/>
          <w:insideV w:space="0" w:sz="0" w:val="nil"/>
        </w:tcBorders>
        <w:shd w:color="auto" w:fill="4472c4" w:val="clear"/>
      </w:tcPr>
    </w:tblStylePr>
    <w:tblStylePr w:type="lastRow">
      <w:rPr>
        <w:b w:val="1"/>
        <w:color w:val="ffffff"/>
      </w:rPr>
      <w:tblPr/>
      <w:tcPr>
        <w:tcBorders>
          <w:left w:color="ffffff" w:space="0" w:sz="4" w:val="single"/>
          <w:bottom w:color="ffffff" w:space="0" w:sz="4" w:val="single"/>
          <w:right w:color="ffffff" w:space="0" w:sz="4" w:val="single"/>
          <w:insideH w:space="0" w:sz="0" w:val="nil"/>
          <w:insideV w:space="0" w:sz="0" w:val="nil"/>
        </w:tcBorders>
        <w:shd w:color="auto" w:fill="4472c4" w:val="clear"/>
      </w:tcPr>
    </w:tblStylePr>
    <w:tblStylePr w:type="firstCol">
      <w:rPr>
        <w:b w:val="1"/>
        <w:color w:val="ffffff"/>
      </w:rPr>
      <w:tblPr/>
      <w:tcPr>
        <w:tcBorders>
          <w:top w:color="ffffff" w:space="0" w:sz="4" w:val="single"/>
          <w:left w:color="ffffff" w:space="0" w:sz="4" w:val="single"/>
          <w:bottom w:color="ffffff" w:space="0" w:sz="4" w:val="single"/>
          <w:insideV w:space="0" w:sz="0" w:val="nil"/>
        </w:tcBorders>
        <w:shd w:color="auto" w:fill="4472c4" w:val="clear"/>
      </w:tcPr>
    </w:tblStylePr>
    <w:tblStylePr w:type="lastCol">
      <w:rPr>
        <w:b w:val="1"/>
        <w:color w:val="ffffff"/>
      </w:rPr>
      <w:tblPr/>
      <w:tcPr>
        <w:tcBorders>
          <w:top w:color="ffffff" w:space="0" w:sz="4" w:val="single"/>
          <w:bottom w:color="ffffff" w:space="0" w:sz="4" w:val="single"/>
          <w:right w:color="ffffff" w:space="0" w:sz="4" w:val="single"/>
          <w:insideV w:space="0" w:sz="0" w:val="nil"/>
        </w:tcBorders>
        <w:shd w:color="auto" w:fill="4472c4" w:val="clear"/>
      </w:tcPr>
    </w:tblStylePr>
    <w:tblStylePr w:type="band1Vert">
      <w:tblPr/>
      <w:tcPr>
        <w:shd w:color="auto" w:fill="b4c6e7" w:val="clear"/>
      </w:tcPr>
    </w:tblStylePr>
    <w:tblStylePr w:type="band1Horz">
      <w:tblPr/>
      <w:tcPr>
        <w:shd w:color="auto" w:fill="b4c6e7" w:val="clear"/>
      </w:tcPr>
    </w:tblStylePr>
  </w:style>
  <w:style w:type="paragraph" w:styleId="Testonotadichiusura">
    <w:name w:val="endnote text"/>
    <w:basedOn w:val="Normale"/>
    <w:link w:val="TestonotadichiusuraCarattere"/>
    <w:uiPriority w:val="99"/>
    <w:semiHidden w:val="1"/>
    <w:unhideWhenUsed w:val="1"/>
    <w:rsid w:val="00F57B08"/>
    <w:pPr>
      <w:spacing w:after="0" w:line="240" w:lineRule="auto"/>
    </w:pPr>
    <w:rPr>
      <w:sz w:val="20"/>
      <w:szCs w:val="20"/>
    </w:rPr>
  </w:style>
  <w:style w:type="character" w:styleId="TestonotadichiusuraCarattere" w:customStyle="1">
    <w:name w:val="Testo nota di chiusura Carattere"/>
    <w:basedOn w:val="Carpredefinitoparagrafo"/>
    <w:link w:val="Testonotadichiusura"/>
    <w:uiPriority w:val="99"/>
    <w:semiHidden w:val="1"/>
    <w:rsid w:val="00F57B08"/>
    <w:rPr>
      <w:sz w:val="20"/>
      <w:szCs w:val="20"/>
    </w:rPr>
  </w:style>
  <w:style w:type="character" w:styleId="Rimandonotadichiusura">
    <w:name w:val="endnote reference"/>
    <w:basedOn w:val="Carpredefinitoparagrafo"/>
    <w:uiPriority w:val="99"/>
    <w:semiHidden w:val="1"/>
    <w:unhideWhenUsed w:val="1"/>
    <w:rsid w:val="00F57B08"/>
    <w:rPr>
      <w:vertAlign w:val="superscript"/>
    </w:rPr>
  </w:style>
  <w:style w:type="paragraph" w:styleId="Testonotaapidipagina">
    <w:name w:val="footnote text"/>
    <w:basedOn w:val="Normale"/>
    <w:link w:val="TestonotaapidipaginaCarattere"/>
    <w:uiPriority w:val="99"/>
    <w:semiHidden w:val="1"/>
    <w:unhideWhenUsed w:val="1"/>
    <w:rsid w:val="00F57B08"/>
    <w:pPr>
      <w:spacing w:after="0" w:line="240" w:lineRule="auto"/>
    </w:pPr>
    <w:rPr>
      <w:sz w:val="20"/>
      <w:szCs w:val="20"/>
    </w:rPr>
  </w:style>
  <w:style w:type="character" w:styleId="TestonotaapidipaginaCarattere" w:customStyle="1">
    <w:name w:val="Testo nota a piè di pagina Carattere"/>
    <w:basedOn w:val="Carpredefinitoparagrafo"/>
    <w:link w:val="Testonotaapidipagina"/>
    <w:uiPriority w:val="99"/>
    <w:semiHidden w:val="1"/>
    <w:rsid w:val="00F57B08"/>
    <w:rPr>
      <w:sz w:val="20"/>
      <w:szCs w:val="20"/>
    </w:rPr>
  </w:style>
  <w:style w:type="character" w:styleId="Rimandonotaapidipagina">
    <w:name w:val="footnote reference"/>
    <w:basedOn w:val="Carpredefinitoparagrafo"/>
    <w:uiPriority w:val="99"/>
    <w:semiHidden w:val="1"/>
    <w:unhideWhenUsed w:val="1"/>
    <w:rsid w:val="00F57B08"/>
    <w:rPr>
      <w:vertAlign w:val="superscript"/>
    </w:rPr>
  </w:style>
  <w:style w:type="character" w:styleId="Menzionenonrisolta">
    <w:name w:val="Unresolved Mention"/>
    <w:basedOn w:val="Carpredefinitoparagrafo"/>
    <w:uiPriority w:val="99"/>
    <w:semiHidden w:val="1"/>
    <w:unhideWhenUsed w:val="1"/>
    <w:rsid w:val="008E402F"/>
    <w:rPr>
      <w:color w:val="605e5c"/>
      <w:shd w:color="auto" w:fill="e1dfdd" w:val="clear"/>
    </w:rPr>
  </w:style>
  <w:style w:type="table" w:styleId="a2" w:customStyle="1">
    <w:basedOn w:val="Tabellanormale"/>
    <w:pPr>
      <w:spacing w:after="0" w:line="240" w:lineRule="auto"/>
    </w:pPr>
    <w:tblPr>
      <w:tblStyleRowBandSize w:val="1"/>
      <w:tblStyleColBandSize w:val="1"/>
      <w:tblCellMar>
        <w:left w:w="115.0" w:type="dxa"/>
        <w:right w:w="115.0" w:type="dxa"/>
      </w:tblCellMar>
    </w:tblPr>
    <w:tcPr>
      <w:shd w:color="auto" w:fill="d9e2f3" w:val="clear"/>
    </w:tcPr>
  </w:style>
  <w:style w:type="table" w:styleId="a3" w:customStyle="1">
    <w:basedOn w:val="Tabellanormale"/>
    <w:pPr>
      <w:spacing w:after="0" w:line="240" w:lineRule="auto"/>
    </w:pPr>
    <w:tblPr>
      <w:tblStyleRowBandSize w:val="1"/>
      <w:tblStyleColBandSize w:val="1"/>
      <w:tblCellMar>
        <w:left w:w="115.0" w:type="dxa"/>
        <w:right w:w="115.0" w:type="dxa"/>
      </w:tblCellMar>
    </w:tblPr>
    <w:tcPr>
      <w:shd w:color="auto" w:fill="d9e2f3" w:val="clear"/>
    </w:tcPr>
  </w:style>
  <w:style w:type="table" w:styleId="a4" w:customStyle="1">
    <w:basedOn w:val="Tabellanormale"/>
    <w:pPr>
      <w:spacing w:after="0" w:line="240" w:lineRule="auto"/>
    </w:pPr>
    <w:tblPr>
      <w:tblStyleRowBandSize w:val="1"/>
      <w:tblStyleColBandSize w:val="1"/>
      <w:tblCellMar>
        <w:left w:w="115.0" w:type="dxa"/>
        <w:right w:w="115.0" w:type="dxa"/>
      </w:tblCellMar>
    </w:tblPr>
    <w:tcPr>
      <w:shd w:color="auto" w:fill="d9e2f3" w:val="clear"/>
    </w:tcPr>
    <w:tblStylePr w:type="firstRow">
      <w:rPr>
        <w:b w:val="1"/>
        <w:color w:val="ffffff"/>
      </w:rPr>
      <w:tblPr/>
      <w:tcPr>
        <w:tcBorders>
          <w:top w:color="ffffff" w:space="0" w:sz="4" w:val="single"/>
          <w:left w:color="ffffff" w:space="0" w:sz="4" w:val="single"/>
          <w:right w:color="ffffff" w:space="0" w:sz="4" w:val="single"/>
          <w:insideH w:space="0" w:sz="0" w:val="nil"/>
          <w:insideV w:space="0" w:sz="0" w:val="nil"/>
        </w:tcBorders>
        <w:shd w:color="auto" w:fill="4472c4" w:val="clear"/>
      </w:tcPr>
    </w:tblStylePr>
    <w:tblStylePr w:type="lastRow">
      <w:rPr>
        <w:b w:val="1"/>
        <w:color w:val="ffffff"/>
      </w:rPr>
      <w:tblPr/>
      <w:tcPr>
        <w:tcBorders>
          <w:left w:color="ffffff" w:space="0" w:sz="4" w:val="single"/>
          <w:bottom w:color="ffffff" w:space="0" w:sz="4" w:val="single"/>
          <w:right w:color="ffffff" w:space="0" w:sz="4" w:val="single"/>
          <w:insideH w:space="0" w:sz="0" w:val="nil"/>
          <w:insideV w:space="0" w:sz="0" w:val="nil"/>
        </w:tcBorders>
        <w:shd w:color="auto" w:fill="4472c4" w:val="clear"/>
      </w:tcPr>
    </w:tblStylePr>
    <w:tblStylePr w:type="firstCol">
      <w:rPr>
        <w:b w:val="1"/>
        <w:color w:val="ffffff"/>
      </w:rPr>
      <w:tblPr/>
      <w:tcPr>
        <w:tcBorders>
          <w:top w:color="ffffff" w:space="0" w:sz="4" w:val="single"/>
          <w:left w:color="ffffff" w:space="0" w:sz="4" w:val="single"/>
          <w:bottom w:color="ffffff" w:space="0" w:sz="4" w:val="single"/>
          <w:insideV w:space="0" w:sz="0" w:val="nil"/>
        </w:tcBorders>
        <w:shd w:color="auto" w:fill="4472c4" w:val="clear"/>
      </w:tcPr>
    </w:tblStylePr>
    <w:tblStylePr w:type="lastCol">
      <w:rPr>
        <w:b w:val="1"/>
        <w:color w:val="ffffff"/>
      </w:rPr>
      <w:tblPr/>
      <w:tcPr>
        <w:tcBorders>
          <w:top w:color="ffffff" w:space="0" w:sz="4" w:val="single"/>
          <w:bottom w:color="ffffff" w:space="0" w:sz="4" w:val="single"/>
          <w:right w:color="ffffff" w:space="0" w:sz="4" w:val="single"/>
          <w:insideV w:space="0" w:sz="0" w:val="nil"/>
        </w:tcBorders>
        <w:shd w:color="auto" w:fill="4472c4" w:val="clear"/>
      </w:tcPr>
    </w:tblStylePr>
    <w:tblStylePr w:type="band1Vert">
      <w:tblPr/>
      <w:tcPr>
        <w:shd w:color="auto" w:fill="b4c6e7" w:val="clear"/>
      </w:tcPr>
    </w:tblStylePr>
    <w:tblStylePr w:type="band1Horz">
      <w:tblPr/>
      <w:tcPr>
        <w:shd w:color="auto" w:fill="b4c6e7" w:val="clear"/>
      </w:tcPr>
    </w:tblStylePr>
  </w:style>
  <w:style w:type="table" w:styleId="a5" w:customStyle="1">
    <w:basedOn w:val="Tabellanormale"/>
    <w:tblPr>
      <w:tblStyleRowBandSize w:val="1"/>
      <w:tblStyleColBandSize w:val="1"/>
      <w:tblCellMar>
        <w:top w:w="100.0" w:type="dxa"/>
        <w:left w:w="100.0" w:type="dxa"/>
        <w:bottom w:w="100.0" w:type="dxa"/>
        <w:right w:w="100.0" w:type="dxa"/>
      </w:tblCellMar>
    </w:tblPr>
  </w:style>
  <w:style w:type="table" w:styleId="a6" w:customStyle="1">
    <w:basedOn w:val="Tabellanormale"/>
    <w:tblPr>
      <w:tblStyleRowBandSize w:val="1"/>
      <w:tblStyleColBandSize w:val="1"/>
      <w:tblCellMar>
        <w:top w:w="100.0" w:type="dxa"/>
        <w:left w:w="100.0" w:type="dxa"/>
        <w:bottom w:w="100.0" w:type="dxa"/>
        <w:right w:w="100.0" w:type="dxa"/>
      </w:tblCellMar>
    </w:tblPr>
  </w:style>
  <w:style w:type="table" w:styleId="a7" w:customStyle="1">
    <w:basedOn w:val="Tabellanormale"/>
    <w:tblPr>
      <w:tblStyleRowBandSize w:val="1"/>
      <w:tblStyleColBandSize w:val="1"/>
      <w:tblCellMar>
        <w:top w:w="100.0" w:type="dxa"/>
        <w:left w:w="100.0" w:type="dxa"/>
        <w:bottom w:w="100.0" w:type="dxa"/>
        <w:right w:w="100.0" w:type="dxa"/>
      </w:tblCellMar>
    </w:tblPr>
  </w:style>
  <w:style w:type="table" w:styleId="a8" w:customStyle="1">
    <w:basedOn w:val="Tabellanormale"/>
    <w:tblPr>
      <w:tblStyleRowBandSize w:val="1"/>
      <w:tblStyleColBandSize w:val="1"/>
      <w:tblCellMar>
        <w:top w:w="100.0" w:type="dxa"/>
        <w:left w:w="100.0" w:type="dxa"/>
        <w:bottom w:w="100.0" w:type="dxa"/>
        <w:right w:w="100.0" w:type="dxa"/>
      </w:tblCellMar>
    </w:tblPr>
  </w:style>
  <w:style w:type="table" w:styleId="a9" w:customStyle="1">
    <w:basedOn w:val="Tabellanormale"/>
    <w:tblPr>
      <w:tblStyleRowBandSize w:val="1"/>
      <w:tblStyleColBandSize w:val="1"/>
      <w:tblCellMar>
        <w:top w:w="100.0" w:type="dxa"/>
        <w:left w:w="100.0" w:type="dxa"/>
        <w:bottom w:w="100.0" w:type="dxa"/>
        <w:right w:w="100.0" w:type="dxa"/>
      </w:tblCellMar>
    </w:tblPr>
  </w:style>
  <w:style w:type="table" w:styleId="aa" w:customStyle="1">
    <w:basedOn w:val="Tabellanormale"/>
    <w:tblPr>
      <w:tblStyleRowBandSize w:val="1"/>
      <w:tblStyleColBandSize w:val="1"/>
      <w:tblCellMar>
        <w:top w:w="100.0" w:type="dxa"/>
        <w:left w:w="100.0" w:type="dxa"/>
        <w:bottom w:w="100.0" w:type="dxa"/>
        <w:right w:w="100.0" w:type="dxa"/>
      </w:tblCellMar>
    </w:tblPr>
  </w:style>
  <w:style w:type="table" w:styleId="ab" w:customStyle="1">
    <w:basedOn w:val="Tabellanormale"/>
    <w:tblPr>
      <w:tblStyleRowBandSize w:val="1"/>
      <w:tblStyleColBandSize w:val="1"/>
      <w:tblCellMar>
        <w:top w:w="100.0" w:type="dxa"/>
        <w:left w:w="100.0" w:type="dxa"/>
        <w:bottom w:w="100.0" w:type="dxa"/>
        <w:right w:w="100.0" w:type="dxa"/>
      </w:tblCellMar>
    </w:tblPr>
  </w:style>
  <w:style w:type="table" w:styleId="ac" w:customStyle="1">
    <w:basedOn w:val="Tabellanormale"/>
    <w:tblPr>
      <w:tblStyleRowBandSize w:val="1"/>
      <w:tblStyleColBandSize w:val="1"/>
      <w:tblCellMar>
        <w:top w:w="100.0" w:type="dxa"/>
        <w:left w:w="100.0" w:type="dxa"/>
        <w:bottom w:w="100.0" w:type="dxa"/>
        <w:right w:w="100.0" w:type="dxa"/>
      </w:tblCellMar>
    </w:tblPr>
  </w:style>
  <w:style w:type="table" w:styleId="ad" w:customStyle="1">
    <w:basedOn w:val="Tabellanormale"/>
    <w:pPr>
      <w:spacing w:after="0" w:line="240" w:lineRule="auto"/>
    </w:pPr>
    <w:tblPr>
      <w:tblStyleRowBandSize w:val="1"/>
      <w:tblStyleColBandSize w:val="1"/>
      <w:tblCellMar>
        <w:top w:w="100.0" w:type="dxa"/>
        <w:left w:w="100.0" w:type="dxa"/>
        <w:bottom w:w="100.0" w:type="dxa"/>
        <w:right w:w="100.0" w:type="dxa"/>
      </w:tblCellMar>
    </w:tblPr>
    <w:tcPr>
      <w:shd w:color="auto" w:fill="d9e2f3" w:val="clear"/>
    </w:tcPr>
  </w:style>
  <w:style w:type="table" w:styleId="ae" w:customStyle="1">
    <w:basedOn w:val="Tabellanormale"/>
    <w:pPr>
      <w:spacing w:after="0" w:line="240" w:lineRule="auto"/>
    </w:pPr>
    <w:tblPr>
      <w:tblStyleRowBandSize w:val="1"/>
      <w:tblStyleColBandSize w:val="1"/>
      <w:tblCellMar>
        <w:top w:w="100.0" w:type="dxa"/>
        <w:left w:w="100.0" w:type="dxa"/>
        <w:bottom w:w="100.0" w:type="dxa"/>
        <w:right w:w="100.0" w:type="dxa"/>
      </w:tblCellMar>
    </w:tblPr>
    <w:tcPr>
      <w:shd w:color="auto" w:fill="d9e2f3" w:val="clear"/>
    </w:tcPr>
  </w:style>
  <w:style w:type="table" w:styleId="af" w:customStyle="1">
    <w:basedOn w:val="Tabellanormale"/>
    <w:pPr>
      <w:spacing w:after="0" w:line="240" w:lineRule="auto"/>
    </w:pPr>
    <w:tblPr>
      <w:tblStyleRowBandSize w:val="1"/>
      <w:tblStyleColBandSize w:val="1"/>
      <w:tblCellMar>
        <w:top w:w="100.0" w:type="dxa"/>
        <w:left w:w="100.0" w:type="dxa"/>
        <w:bottom w:w="100.0" w:type="dxa"/>
        <w:right w:w="100.0" w:type="dxa"/>
      </w:tblCellMar>
    </w:tblPr>
    <w:tcPr>
      <w:shd w:color="auto" w:fill="d9e2f3" w:val="clear"/>
    </w:tcPr>
    <w:tblStylePr w:type="firstRow">
      <w:rPr>
        <w:b w:val="1"/>
        <w:color w:val="ffffff"/>
      </w:rPr>
      <w:tblPr/>
      <w:tcPr>
        <w:tcBorders>
          <w:top w:color="ffffff" w:space="0" w:sz="4" w:val="single"/>
          <w:left w:color="ffffff" w:space="0" w:sz="4" w:val="single"/>
          <w:right w:color="ffffff" w:space="0" w:sz="4" w:val="single"/>
          <w:insideH w:space="0" w:sz="0" w:val="nil"/>
          <w:insideV w:space="0" w:sz="0" w:val="nil"/>
        </w:tcBorders>
        <w:shd w:color="auto" w:fill="4472c4" w:val="clear"/>
      </w:tcPr>
    </w:tblStylePr>
    <w:tblStylePr w:type="lastRow">
      <w:rPr>
        <w:b w:val="1"/>
        <w:color w:val="ffffff"/>
      </w:rPr>
      <w:tblPr/>
      <w:tcPr>
        <w:tcBorders>
          <w:left w:color="ffffff" w:space="0" w:sz="4" w:val="single"/>
          <w:bottom w:color="ffffff" w:space="0" w:sz="4" w:val="single"/>
          <w:right w:color="ffffff" w:space="0" w:sz="4" w:val="single"/>
          <w:insideH w:space="0" w:sz="0" w:val="nil"/>
          <w:insideV w:space="0" w:sz="0" w:val="nil"/>
        </w:tcBorders>
        <w:shd w:color="auto" w:fill="4472c4" w:val="clear"/>
      </w:tcPr>
    </w:tblStylePr>
    <w:tblStylePr w:type="firstCol">
      <w:rPr>
        <w:b w:val="1"/>
        <w:color w:val="ffffff"/>
      </w:rPr>
      <w:tblPr/>
      <w:tcPr>
        <w:tcBorders>
          <w:top w:color="ffffff" w:space="0" w:sz="4" w:val="single"/>
          <w:left w:color="ffffff" w:space="0" w:sz="4" w:val="single"/>
          <w:bottom w:color="ffffff" w:space="0" w:sz="4" w:val="single"/>
          <w:insideV w:space="0" w:sz="0" w:val="nil"/>
        </w:tcBorders>
        <w:shd w:color="auto" w:fill="4472c4" w:val="clear"/>
      </w:tcPr>
    </w:tblStylePr>
    <w:tblStylePr w:type="lastCol">
      <w:rPr>
        <w:b w:val="1"/>
        <w:color w:val="ffffff"/>
      </w:rPr>
      <w:tblPr/>
      <w:tcPr>
        <w:tcBorders>
          <w:top w:color="ffffff" w:space="0" w:sz="4" w:val="single"/>
          <w:bottom w:color="ffffff" w:space="0" w:sz="4" w:val="single"/>
          <w:right w:color="ffffff" w:space="0" w:sz="4" w:val="single"/>
          <w:insideV w:space="0" w:sz="0" w:val="nil"/>
        </w:tcBorders>
        <w:shd w:color="auto" w:fill="4472c4" w:val="clear"/>
      </w:tcPr>
    </w:tblStylePr>
    <w:tblStylePr w:type="band1Vert">
      <w:tblPr/>
      <w:tcPr>
        <w:shd w:color="auto" w:fill="b4c6e7" w:val="clear"/>
      </w:tcPr>
    </w:tblStylePr>
    <w:tblStylePr w:type="band1Horz">
      <w:tblPr/>
      <w:tcPr>
        <w:shd w:color="auto" w:fill="b4c6e7" w:val="clear"/>
      </w:tcPr>
    </w:tblStylePr>
  </w:style>
  <w:style w:type="table" w:styleId="af0" w:customStyle="1">
    <w:basedOn w:val="Tabellanormale"/>
    <w:pPr>
      <w:spacing w:after="0" w:line="240" w:lineRule="auto"/>
    </w:pPr>
    <w:tblPr>
      <w:tblStyleRowBandSize w:val="1"/>
      <w:tblStyleColBandSize w:val="1"/>
      <w:tblCellMar>
        <w:top w:w="100.0" w:type="dxa"/>
        <w:left w:w="100.0" w:type="dxa"/>
        <w:bottom w:w="100.0" w:type="dxa"/>
        <w:right w:w="100.0" w:type="dxa"/>
      </w:tblCellMar>
    </w:tblPr>
    <w:tcPr>
      <w:shd w:color="auto" w:fill="d9e2f3" w:val="clear"/>
    </w:tcPr>
  </w:style>
  <w:style w:type="table" w:styleId="af1" w:customStyle="1">
    <w:basedOn w:val="Tabellanormale"/>
    <w:pPr>
      <w:spacing w:after="0" w:line="240" w:lineRule="auto"/>
    </w:pPr>
    <w:tblPr>
      <w:tblStyleRowBandSize w:val="1"/>
      <w:tblStyleColBandSize w:val="1"/>
      <w:tblCellMar>
        <w:top w:w="100.0" w:type="dxa"/>
        <w:left w:w="100.0" w:type="dxa"/>
        <w:bottom w:w="100.0" w:type="dxa"/>
        <w:right w:w="100.0" w:type="dxa"/>
      </w:tblCellMar>
    </w:tblPr>
    <w:tcPr>
      <w:shd w:color="auto" w:fill="d9e2f3" w:val="clear"/>
    </w:tcPr>
  </w:style>
  <w:style w:type="table" w:styleId="af2" w:customStyle="1">
    <w:basedOn w:val="Tabellanormale"/>
    <w:pPr>
      <w:spacing w:after="0" w:line="240" w:lineRule="auto"/>
    </w:pPr>
    <w:tblPr>
      <w:tblStyleRowBandSize w:val="1"/>
      <w:tblStyleColBandSize w:val="1"/>
      <w:tblCellMar>
        <w:top w:w="100.0" w:type="dxa"/>
        <w:left w:w="100.0" w:type="dxa"/>
        <w:bottom w:w="100.0" w:type="dxa"/>
        <w:right w:w="100.0" w:type="dxa"/>
      </w:tblCellMar>
    </w:tblPr>
    <w:tcPr>
      <w:shd w:color="auto" w:fill="d9e2f3" w:val="clear"/>
    </w:tcPr>
  </w:style>
  <w:style w:type="table" w:styleId="af3" w:customStyle="1">
    <w:basedOn w:val="Tabellanormale"/>
    <w:pPr>
      <w:spacing w:after="0" w:line="240" w:lineRule="auto"/>
    </w:pPr>
    <w:tblPr>
      <w:tblStyleRowBandSize w:val="1"/>
      <w:tblStyleColBandSize w:val="1"/>
      <w:tblCellMar>
        <w:top w:w="100.0" w:type="dxa"/>
        <w:left w:w="100.0" w:type="dxa"/>
        <w:bottom w:w="100.0" w:type="dxa"/>
        <w:right w:w="100.0" w:type="dxa"/>
      </w:tblCellMar>
    </w:tblPr>
    <w:tcPr>
      <w:shd w:color="auto" w:fill="d9e2f3" w:val="clear"/>
    </w:tcPr>
  </w:style>
  <w:style w:type="table" w:styleId="af4" w:customStyle="1">
    <w:basedOn w:val="Tabellanormale"/>
    <w:pPr>
      <w:spacing w:after="0" w:line="240" w:lineRule="auto"/>
    </w:pPr>
    <w:tblPr>
      <w:tblStyleRowBandSize w:val="1"/>
      <w:tblStyleColBandSize w:val="1"/>
      <w:tblCellMar>
        <w:top w:w="100.0" w:type="dxa"/>
        <w:left w:w="100.0" w:type="dxa"/>
        <w:bottom w:w="100.0" w:type="dxa"/>
        <w:right w:w="100.0" w:type="dxa"/>
      </w:tblCellMar>
    </w:tblPr>
    <w:tcPr>
      <w:shd w:color="auto" w:fill="d9e2f3" w:val="clear"/>
    </w:tcPr>
  </w:style>
  <w:style w:type="table" w:styleId="af5" w:customStyle="1">
    <w:basedOn w:val="Tabellanormale"/>
    <w:pPr>
      <w:spacing w:after="0" w:line="240" w:lineRule="auto"/>
    </w:pPr>
    <w:tblPr>
      <w:tblStyleRowBandSize w:val="1"/>
      <w:tblStyleColBandSize w:val="1"/>
      <w:tblCellMar>
        <w:top w:w="100.0" w:type="dxa"/>
        <w:left w:w="100.0" w:type="dxa"/>
        <w:bottom w:w="100.0" w:type="dxa"/>
        <w:right w:w="100.0" w:type="dxa"/>
      </w:tblCellMar>
    </w:tblPr>
    <w:tcPr>
      <w:shd w:color="auto" w:fill="d9e2f3" w:val="clear"/>
    </w:tcPr>
  </w:style>
  <w:style w:type="table" w:styleId="af6" w:customStyle="1">
    <w:basedOn w:val="Tabellanormale"/>
    <w:pPr>
      <w:spacing w:after="0" w:line="240" w:lineRule="auto"/>
    </w:pPr>
    <w:tblPr>
      <w:tblStyleRowBandSize w:val="1"/>
      <w:tblStyleColBandSize w:val="1"/>
      <w:tblCellMar>
        <w:top w:w="100.0" w:type="dxa"/>
        <w:left w:w="100.0" w:type="dxa"/>
        <w:bottom w:w="100.0" w:type="dxa"/>
        <w:right w:w="100.0" w:type="dxa"/>
      </w:tblCellMar>
    </w:tblPr>
    <w:tcPr>
      <w:shd w:color="auto" w:fill="d9e2f3" w:val="clear"/>
    </w:tcPr>
  </w:style>
  <w:style w:type="table" w:styleId="af7" w:customStyle="1">
    <w:basedOn w:val="Tabellanormale"/>
    <w:pPr>
      <w:spacing w:after="0" w:line="240" w:lineRule="auto"/>
    </w:pPr>
    <w:tblPr>
      <w:tblStyleRowBandSize w:val="1"/>
      <w:tblStyleColBandSize w:val="1"/>
      <w:tblCellMar>
        <w:top w:w="100.0" w:type="dxa"/>
        <w:left w:w="100.0" w:type="dxa"/>
        <w:bottom w:w="100.0" w:type="dxa"/>
        <w:right w:w="100.0" w:type="dxa"/>
      </w:tblCellMar>
    </w:tblPr>
    <w:tcPr>
      <w:shd w:color="auto" w:fill="d9e2f3" w:val="clear"/>
    </w:tcPr>
  </w:style>
  <w:style w:type="paragraph" w:styleId="NormaleWeb">
    <w:name w:val="Normal (Web)"/>
    <w:basedOn w:val="Normale"/>
    <w:uiPriority w:val="99"/>
    <w:semiHidden w:val="1"/>
    <w:unhideWhenUsed w:val="1"/>
    <w:rsid w:val="007E6A7F"/>
    <w:pPr>
      <w:spacing w:after="100" w:afterAutospacing="1" w:before="100" w:beforeAutospacing="1" w:line="240" w:lineRule="auto"/>
    </w:pPr>
    <w:rPr>
      <w:rFonts w:ascii="Times New Roman" w:cs="Times New Roman" w:eastAsia="Times New Roman" w:hAnsi="Times New Roman"/>
      <w:sz w:val="24"/>
      <w:szCs w:val="24"/>
      <w:lang w:val="it-IT"/>
    </w:rPr>
  </w:style>
  <w:style w:type="table" w:styleId="af8" w:customStyle="1">
    <w:basedOn w:val="TableNormal0"/>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ZmEIvsHMwHSg7NJnmIzzsQgVrA==">AMUW2mUmTkgWVfSHLtk6VqxP3/uJltn9lsLJyeL7GD3JXzL+4APzuCPI61e5QuiQoKZoa2uQBsC5dEmPoC+k5e8/6H7TRzb1tCR3UweW2PtPcbYs9sS8WWzAfzL9wgVvCYW2+VHnT2rR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2021-08-11T12:24:00Z</dcterms:created>
  <dc:creator>Camacho, Dr. Alex (WDC)</dc:creator>
</cp:coreProperties>
</file>